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8B" w:rsidRPr="009C4579" w:rsidRDefault="0043168B" w:rsidP="009C4579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9C4579">
        <w:rPr>
          <w:rFonts w:ascii="Bookman Old Style" w:hAnsi="Bookman Old Style"/>
          <w:b/>
          <w:sz w:val="20"/>
          <w:szCs w:val="20"/>
        </w:rPr>
        <w:t>TERMO DE REFERÊNCIA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C4579">
        <w:rPr>
          <w:rFonts w:ascii="Bookman Old Style" w:hAnsi="Bookman Old Style"/>
          <w:b/>
          <w:sz w:val="20"/>
          <w:szCs w:val="20"/>
        </w:rPr>
        <w:t>1 - DO OBJETO</w:t>
      </w:r>
    </w:p>
    <w:p w:rsidR="0043168B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Aquisição de Biodigestor de pequeno porte, por meio do</w:t>
      </w:r>
      <w:r w:rsidR="009D5CD8" w:rsidRPr="009C4579">
        <w:rPr>
          <w:rFonts w:ascii="Bookman Old Style" w:hAnsi="Bookman Old Style"/>
          <w:sz w:val="20"/>
          <w:szCs w:val="20"/>
        </w:rPr>
        <w:t xml:space="preserve"> INSTRUMENTO DE REPASSE Nº 4124400/2023</w:t>
      </w:r>
      <w:r w:rsidRPr="009C4579">
        <w:rPr>
          <w:rFonts w:ascii="Bookman Old Style" w:hAnsi="Bookman Old Style"/>
          <w:sz w:val="20"/>
          <w:szCs w:val="20"/>
        </w:rPr>
        <w:t>, voltados ao apoio de atividades correlatas à gestão de resíduos no município.</w:t>
      </w:r>
    </w:p>
    <w:p w:rsidR="009C4579" w:rsidRPr="009C4579" w:rsidRDefault="009C4579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C4579">
        <w:rPr>
          <w:rFonts w:ascii="Bookman Old Style" w:hAnsi="Bookman Old Style"/>
          <w:b/>
          <w:sz w:val="20"/>
          <w:szCs w:val="20"/>
        </w:rPr>
        <w:t>2- DA PREVISÃO LEGAL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2.1. FUNDAMENTAÇÃO LEGAL: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2.1.1.PPA - Lei </w:t>
      </w:r>
      <w:r w:rsidR="004449E3" w:rsidRPr="009C4579">
        <w:rPr>
          <w:rFonts w:ascii="Bookman Old Style" w:hAnsi="Bookman Old Style"/>
          <w:sz w:val="20"/>
          <w:szCs w:val="20"/>
        </w:rPr>
        <w:t>n. º</w:t>
      </w:r>
      <w:r w:rsidRPr="009C4579">
        <w:rPr>
          <w:rFonts w:ascii="Bookman Old Style" w:hAnsi="Bookman Old Style"/>
          <w:sz w:val="20"/>
          <w:szCs w:val="20"/>
        </w:rPr>
        <w:t xml:space="preserve"> 2.920 de 17/12/2021;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2.1.2. LDO - Lei </w:t>
      </w:r>
      <w:r w:rsidR="004449E3" w:rsidRPr="009C4579">
        <w:rPr>
          <w:rFonts w:ascii="Bookman Old Style" w:hAnsi="Bookman Old Style"/>
          <w:sz w:val="20"/>
          <w:szCs w:val="20"/>
        </w:rPr>
        <w:t>n. º</w:t>
      </w:r>
      <w:r w:rsidRPr="009C4579">
        <w:rPr>
          <w:rFonts w:ascii="Bookman Old Style" w:hAnsi="Bookman Old Style"/>
          <w:sz w:val="20"/>
          <w:szCs w:val="20"/>
        </w:rPr>
        <w:t xml:space="preserve"> 2.977 de 28/06/2022;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2.1.3. LOA - Lei nº 3.039 de 14/12/2022;</w:t>
      </w:r>
    </w:p>
    <w:p w:rsidR="0043168B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2.1.4.</w:t>
      </w:r>
      <w:r w:rsidR="009D5CD8" w:rsidRPr="009C4579">
        <w:rPr>
          <w:rFonts w:ascii="Bookman Old Style" w:hAnsi="Bookman Old Style"/>
          <w:sz w:val="20"/>
          <w:szCs w:val="20"/>
        </w:rPr>
        <w:t xml:space="preserve"> INSTRUMENTO DE REPASSE Nº 4124400/2023 </w:t>
      </w:r>
      <w:r w:rsidRPr="009C4579">
        <w:rPr>
          <w:rFonts w:ascii="Bookman Old Style" w:hAnsi="Bookman Old Style"/>
          <w:sz w:val="20"/>
          <w:szCs w:val="20"/>
        </w:rPr>
        <w:t>— Município de Santo Antônio do Sudoeste e Itaipu Binacional.</w:t>
      </w:r>
    </w:p>
    <w:p w:rsidR="009C4579" w:rsidRPr="009C4579" w:rsidRDefault="009C4579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C4579">
        <w:rPr>
          <w:rFonts w:ascii="Bookman Old Style" w:hAnsi="Bookman Old Style"/>
          <w:b/>
          <w:sz w:val="20"/>
          <w:szCs w:val="20"/>
        </w:rPr>
        <w:t>3 — DA NECESSIDADE /JUSTIFICATIVA</w:t>
      </w:r>
    </w:p>
    <w:p w:rsidR="0043168B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A coleta seletiva de lixo é de extrema importância para a sociedade. Além de gerar renda para milhões de pessoas, também significa uma grande vantagem para o Meio Ambiente, uma vez que diminui a poluição dos solos e rios. Este tipo de coleta é de extrema importância para o desenvolvimento sustentável do planeta. A reciclagem dos resíduos domésticos apresenta, normalmente, um custo mais elevado do que os métodos convencionais. De qualquer forma, é importante notar que o objetivo da coleta seletiva não é gerar recursos, mas reduzir o volume de resíduos destinados inadequadamente, gerando ganhos ambientais.</w:t>
      </w:r>
    </w:p>
    <w:p w:rsidR="003B69E8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A NBR 10.004/04 classifica os Resíduos Sólidos em diversas formas que se baseiam em determinadas características ou propriedades. A classificação é relevante para a escolha da estratégia de gerenciamento mais viável. Os Resíduos Sólidos podem ser classificados quanto à natureza física, a composição química, aos riscos potenciais ao meio ambiente e ainda quanto à origem.</w:t>
      </w:r>
    </w:p>
    <w:p w:rsidR="0043168B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A Lei Federal nº 12.305 de 02 de agosto de 2010 que institui a Política Nacional de Resíduos Sólidos: altera a Lei nº 9,605 de 12 de fevereiro de 1998 dispõem sobre seus princípios, objetivos e instrumentos, bem como sobre as diretrizes relativas à Gestão integrada e ao gerenciamento de resíduos sólidos, incluindo os perigos, as responsabilidades dos geradores e do poder público e aos instrumentos econômicos aplicáveis. No Paraná, a Lei Estadual nº. 12.493/99 estabelece que é responsabilidade das Prefeituras Municipais o gerenciamento dos resíduos sólidos urbanos provenientes de residências, estabelecimentos comerciais e prestadores de serviços, bem como os de Limpeza Pública Urbana.</w:t>
      </w:r>
    </w:p>
    <w:p w:rsidR="0043168B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Em Santo Antônio do Sudoeste, a administração pública age em prol da reciclagem, implantando o serviço de coleta seletiva e triagem para reciclagem, com o objetivo de minimizar os problemas ambientais e </w:t>
      </w:r>
      <w:r w:rsidR="003B69E8" w:rsidRPr="009C4579">
        <w:rPr>
          <w:rFonts w:ascii="Bookman Old Style" w:hAnsi="Bookman Old Style"/>
          <w:sz w:val="20"/>
          <w:szCs w:val="20"/>
        </w:rPr>
        <w:t>sociais.</w:t>
      </w:r>
    </w:p>
    <w:p w:rsidR="0043168B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A coleta seletiva é essencial para a promoção da sustentabilidade e para a prevenção de doenças causadas pelo descarte inadequado de resíduos. Pensando nisso, a aquisição do equipamento aqui listado vem para somar como apoio à gestão dos resíduos no município, conforme detalhado a seguir, e cujas especificações constam dos anexos deste edital:</w:t>
      </w:r>
    </w:p>
    <w:p w:rsidR="0043168B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i/>
          <w:sz w:val="20"/>
          <w:szCs w:val="20"/>
        </w:rPr>
      </w:pPr>
      <w:r w:rsidRPr="009C4579">
        <w:rPr>
          <w:rFonts w:ascii="Bookman Old Style" w:hAnsi="Bookman Old Style"/>
          <w:i/>
          <w:sz w:val="20"/>
          <w:szCs w:val="20"/>
        </w:rPr>
        <w:t>-Biodigestor de pequeno porte: para uso de educação ambiental de forma a divulgar práticas de reaproveitamento energético e para produção “de adubo a partir de resíduos orgânicos;</w:t>
      </w:r>
    </w:p>
    <w:p w:rsidR="0043168B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A aquisição prevista neste termo de referência do biodigestor de pequeno porte é essencial para o município, pois contribuirá para a diminuição dos custos com a má destinação de materiais orgânicos, redução da contaminação ambiental, aumento da limpeza urbana e no interior, além de promover a sustentabilidade e a saúde pública.</w:t>
      </w:r>
    </w:p>
    <w:p w:rsidR="0043168B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As aquisições se destinam a cumprir o previsto no </w:t>
      </w:r>
      <w:r w:rsidR="00DB6DA0" w:rsidRPr="009C4579">
        <w:rPr>
          <w:rFonts w:ascii="Bookman Old Style" w:hAnsi="Bookman Old Style"/>
          <w:sz w:val="20"/>
          <w:szCs w:val="20"/>
        </w:rPr>
        <w:t xml:space="preserve">INSTRUMENTO DE REPASSE Nº 4124400/2023 </w:t>
      </w:r>
      <w:r w:rsidRPr="009C4579">
        <w:rPr>
          <w:rFonts w:ascii="Bookman Old Style" w:hAnsi="Bookman Old Style"/>
          <w:sz w:val="20"/>
          <w:szCs w:val="20"/>
        </w:rPr>
        <w:t>firmado entre o Município e a Itaipu Binacional, bem como melhorar a gestão dos resíduos em Santo Antônio do Sudoeste.</w:t>
      </w:r>
    </w:p>
    <w:p w:rsidR="0043168B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proofErr w:type="gramStart"/>
      <w:r w:rsidRPr="009C4579">
        <w:rPr>
          <w:rFonts w:ascii="Bookman Old Style" w:hAnsi="Bookman Old Style"/>
          <w:sz w:val="20"/>
          <w:szCs w:val="20"/>
        </w:rPr>
        <w:t>À</w:t>
      </w:r>
      <w:proofErr w:type="gramEnd"/>
      <w:r w:rsidRPr="009C4579">
        <w:rPr>
          <w:rFonts w:ascii="Bookman Old Style" w:hAnsi="Bookman Old Style"/>
          <w:sz w:val="20"/>
          <w:szCs w:val="20"/>
        </w:rPr>
        <w:t xml:space="preserve"> seguir, segue a planilha demonstrativa com os valores do</w:t>
      </w:r>
      <w:r w:rsidR="00684290" w:rsidRPr="009C4579">
        <w:rPr>
          <w:rFonts w:ascii="Bookman Old Style" w:hAnsi="Bookman Old Style"/>
          <w:sz w:val="20"/>
          <w:szCs w:val="20"/>
        </w:rPr>
        <w:t xml:space="preserve"> convênio e a coparticipação do </w:t>
      </w:r>
      <w:r w:rsidRPr="009C4579">
        <w:rPr>
          <w:rFonts w:ascii="Bookman Old Style" w:hAnsi="Bookman Old Style"/>
          <w:sz w:val="20"/>
          <w:szCs w:val="20"/>
        </w:rPr>
        <w:t>Município: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326"/>
        <w:gridCol w:w="626"/>
        <w:gridCol w:w="1445"/>
        <w:gridCol w:w="1276"/>
        <w:gridCol w:w="1134"/>
        <w:gridCol w:w="1040"/>
        <w:gridCol w:w="1228"/>
        <w:gridCol w:w="1134"/>
      </w:tblGrid>
      <w:tr w:rsidR="009C4579" w:rsidRPr="009C4579" w:rsidTr="009C4579">
        <w:tc>
          <w:tcPr>
            <w:tcW w:w="1952" w:type="dxa"/>
            <w:gridSpan w:val="2"/>
          </w:tcPr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b/>
                <w:sz w:val="16"/>
                <w:szCs w:val="16"/>
              </w:rPr>
              <w:t>Produtos e equipamentos</w:t>
            </w:r>
          </w:p>
        </w:tc>
        <w:tc>
          <w:tcPr>
            <w:tcW w:w="2721" w:type="dxa"/>
            <w:gridSpan w:val="2"/>
          </w:tcPr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174" w:type="dxa"/>
            <w:gridSpan w:val="2"/>
          </w:tcPr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b/>
                <w:sz w:val="16"/>
                <w:szCs w:val="16"/>
              </w:rPr>
              <w:t>PARTICIPAÇÃO (%)</w:t>
            </w:r>
          </w:p>
        </w:tc>
        <w:tc>
          <w:tcPr>
            <w:tcW w:w="2362" w:type="dxa"/>
            <w:gridSpan w:val="2"/>
          </w:tcPr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b/>
                <w:sz w:val="16"/>
                <w:szCs w:val="16"/>
              </w:rPr>
              <w:t>PARTICIPAÇÃO (R$)</w:t>
            </w:r>
          </w:p>
        </w:tc>
      </w:tr>
      <w:tr w:rsidR="009C4579" w:rsidRPr="009C4579" w:rsidTr="009C4579">
        <w:tc>
          <w:tcPr>
            <w:tcW w:w="1326" w:type="dxa"/>
          </w:tcPr>
          <w:p w:rsidR="00EC1351" w:rsidRPr="009C4579" w:rsidRDefault="00EC135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Produtos e equipamentos</w:t>
            </w:r>
          </w:p>
        </w:tc>
        <w:tc>
          <w:tcPr>
            <w:tcW w:w="626" w:type="dxa"/>
          </w:tcPr>
          <w:p w:rsidR="00EC1351" w:rsidRPr="009C4579" w:rsidRDefault="00EC135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QTD.</w:t>
            </w:r>
          </w:p>
        </w:tc>
        <w:tc>
          <w:tcPr>
            <w:tcW w:w="1445" w:type="dxa"/>
          </w:tcPr>
          <w:p w:rsidR="00EC1351" w:rsidRPr="009C4579" w:rsidRDefault="00EC135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PROPOSTO CONVÊNIO (R$)</w:t>
            </w:r>
          </w:p>
        </w:tc>
        <w:tc>
          <w:tcPr>
            <w:tcW w:w="1276" w:type="dxa"/>
          </w:tcPr>
          <w:p w:rsidR="00EC1351" w:rsidRPr="009C4579" w:rsidRDefault="00EC135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TOTAL (R$)</w:t>
            </w:r>
          </w:p>
        </w:tc>
        <w:tc>
          <w:tcPr>
            <w:tcW w:w="1134" w:type="dxa"/>
          </w:tcPr>
          <w:p w:rsidR="00EC1351" w:rsidRPr="009C4579" w:rsidRDefault="00EC135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ITAIPU (%)</w:t>
            </w:r>
          </w:p>
        </w:tc>
        <w:tc>
          <w:tcPr>
            <w:tcW w:w="1040" w:type="dxa"/>
          </w:tcPr>
          <w:p w:rsidR="00EC1351" w:rsidRPr="009C4579" w:rsidRDefault="00EC135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MUN. (%)</w:t>
            </w:r>
          </w:p>
        </w:tc>
        <w:tc>
          <w:tcPr>
            <w:tcW w:w="1228" w:type="dxa"/>
          </w:tcPr>
          <w:p w:rsidR="00EC1351" w:rsidRPr="009C4579" w:rsidRDefault="00EC135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ITAIPU (R$)</w:t>
            </w:r>
          </w:p>
        </w:tc>
        <w:tc>
          <w:tcPr>
            <w:tcW w:w="1134" w:type="dxa"/>
          </w:tcPr>
          <w:p w:rsidR="00EC1351" w:rsidRPr="009C4579" w:rsidRDefault="00EC135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MIN. (R$)</w:t>
            </w:r>
          </w:p>
        </w:tc>
      </w:tr>
      <w:tr w:rsidR="009C4579" w:rsidRPr="009C4579" w:rsidTr="009C4579">
        <w:tc>
          <w:tcPr>
            <w:tcW w:w="1326" w:type="dxa"/>
          </w:tcPr>
          <w:p w:rsidR="00EC1351" w:rsidRPr="009C4579" w:rsidRDefault="00EC135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Biodigestor de pequeno porte</w:t>
            </w:r>
          </w:p>
        </w:tc>
        <w:tc>
          <w:tcPr>
            <w:tcW w:w="626" w:type="dxa"/>
          </w:tcPr>
          <w:p w:rsidR="00EC1351" w:rsidRPr="009C4579" w:rsidRDefault="00EC135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1445" w:type="dxa"/>
          </w:tcPr>
          <w:p w:rsidR="00EC135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R$ </w:t>
            </w:r>
            <w:r w:rsidR="00DB6DA0" w:rsidRPr="009C4579">
              <w:rPr>
                <w:rFonts w:ascii="Bookman Old Style" w:hAnsi="Bookman Old Style"/>
                <w:sz w:val="16"/>
                <w:szCs w:val="16"/>
              </w:rPr>
              <w:t>16.000,00</w:t>
            </w:r>
          </w:p>
        </w:tc>
        <w:tc>
          <w:tcPr>
            <w:tcW w:w="1276" w:type="dxa"/>
          </w:tcPr>
          <w:p w:rsidR="00EC135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R$ </w:t>
            </w:r>
            <w:r w:rsidR="00DB6DA0" w:rsidRPr="009C4579">
              <w:rPr>
                <w:rFonts w:ascii="Bookman Old Style" w:hAnsi="Bookman Old Style"/>
                <w:sz w:val="16"/>
                <w:szCs w:val="16"/>
              </w:rPr>
              <w:t>16.000,00</w:t>
            </w:r>
          </w:p>
        </w:tc>
        <w:tc>
          <w:tcPr>
            <w:tcW w:w="1134" w:type="dxa"/>
          </w:tcPr>
          <w:p w:rsidR="00EC1351" w:rsidRPr="009C4579" w:rsidRDefault="00DB6DA0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85</w:t>
            </w:r>
          </w:p>
        </w:tc>
        <w:tc>
          <w:tcPr>
            <w:tcW w:w="1040" w:type="dxa"/>
          </w:tcPr>
          <w:p w:rsidR="00EC1351" w:rsidRPr="009C4579" w:rsidRDefault="00DB6DA0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15</w:t>
            </w:r>
          </w:p>
        </w:tc>
        <w:tc>
          <w:tcPr>
            <w:tcW w:w="1228" w:type="dxa"/>
          </w:tcPr>
          <w:p w:rsidR="00EC135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R$</w:t>
            </w:r>
            <w:r w:rsidR="00DB6DA0" w:rsidRPr="009C4579">
              <w:rPr>
                <w:rFonts w:ascii="Bookman Old Style" w:hAnsi="Bookman Old Style"/>
                <w:sz w:val="16"/>
                <w:szCs w:val="16"/>
              </w:rPr>
              <w:t>13.600,00</w:t>
            </w:r>
          </w:p>
        </w:tc>
        <w:tc>
          <w:tcPr>
            <w:tcW w:w="1134" w:type="dxa"/>
          </w:tcPr>
          <w:p w:rsidR="00EC135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R$2.</w:t>
            </w:r>
            <w:r w:rsidR="00DB6DA0" w:rsidRPr="009C4579">
              <w:rPr>
                <w:rFonts w:ascii="Bookman Old Style" w:hAnsi="Bookman Old Style"/>
                <w:sz w:val="16"/>
                <w:szCs w:val="16"/>
              </w:rPr>
              <w:t>400,00</w:t>
            </w:r>
          </w:p>
        </w:tc>
      </w:tr>
    </w:tbl>
    <w:p w:rsidR="0043168B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lastRenderedPageBreak/>
        <w:t>Caso a melhor proposta seja de valor menor ao estipulado, o empenho deverá ser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proporcional, respeitando as percentagens da planilha acima.</w:t>
      </w:r>
    </w:p>
    <w:p w:rsidR="0043168B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O biodigestor será instalado na Escola</w:t>
      </w:r>
      <w:r w:rsidR="00766508" w:rsidRPr="009C4579">
        <w:rPr>
          <w:rFonts w:ascii="Bookman Old Style" w:hAnsi="Bookman Old Style"/>
          <w:sz w:val="20"/>
          <w:szCs w:val="20"/>
        </w:rPr>
        <w:t xml:space="preserve"> Municipal Dorival Magrinelli</w:t>
      </w:r>
      <w:r w:rsidR="00684290" w:rsidRPr="009C4579">
        <w:rPr>
          <w:rFonts w:ascii="Bookman Old Style" w:hAnsi="Bookman Old Style"/>
          <w:sz w:val="20"/>
          <w:szCs w:val="20"/>
        </w:rPr>
        <w:t xml:space="preserve"> e </w:t>
      </w:r>
      <w:r w:rsidRPr="009C4579">
        <w:rPr>
          <w:rFonts w:ascii="Bookman Old Style" w:hAnsi="Bookman Old Style"/>
          <w:sz w:val="20"/>
          <w:szCs w:val="20"/>
        </w:rPr>
        <w:t xml:space="preserve">tem por objetivo diminuir o envio dos resíduos para estação </w:t>
      </w:r>
      <w:r w:rsidR="003B69E8" w:rsidRPr="009C4579">
        <w:rPr>
          <w:rFonts w:ascii="Bookman Old Style" w:hAnsi="Bookman Old Style"/>
          <w:sz w:val="20"/>
          <w:szCs w:val="20"/>
        </w:rPr>
        <w:t>transbordo</w:t>
      </w:r>
      <w:r w:rsidRPr="009C4579">
        <w:rPr>
          <w:rFonts w:ascii="Bookman Old Style" w:hAnsi="Bookman Old Style"/>
          <w:sz w:val="20"/>
          <w:szCs w:val="20"/>
        </w:rPr>
        <w:t xml:space="preserve"> ensinar métodos ambientais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de transformações de resíduos em matéria prima (gás e adubo).</w:t>
      </w:r>
    </w:p>
    <w:p w:rsidR="0043168B" w:rsidRPr="009C4579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A Instalação desse biodigestor na escola será de suma importância, pois, os funcionários,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alunos e professores compreendam na</w:t>
      </w:r>
      <w:r w:rsidR="009C4579" w:rsidRPr="009C4579">
        <w:rPr>
          <w:rFonts w:ascii="Bookman Old Style" w:hAnsi="Bookman Old Style"/>
          <w:sz w:val="20"/>
          <w:szCs w:val="20"/>
        </w:rPr>
        <w:t xml:space="preserve"> prática a importância de “compo</w:t>
      </w:r>
      <w:r w:rsidRPr="009C4579">
        <w:rPr>
          <w:rFonts w:ascii="Bookman Old Style" w:hAnsi="Bookman Old Style"/>
          <w:sz w:val="20"/>
          <w:szCs w:val="20"/>
        </w:rPr>
        <w:t>stagem” dos resíduos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produzidos na cozinha da escola com a implantação de biodigestores que funcionam de modo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anaeróbio (sem presença de oxigênio) e no seu processo de biodigestão dos resíduos orgânicos tem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como produto final do biogás que voltará a ser utilizado na cozinha e o biofertilizante, que pode ser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aproveitados na própria horta escolar. Os funcionários envolvidos no processo receberão então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treinamento especializado para operacionalização do biodigestor. Todo o lixo orgânico oriundo dos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restos de refeições será colocado no biodigestor.</w:t>
      </w:r>
    </w:p>
    <w:p w:rsidR="00684290" w:rsidRDefault="0043168B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Para instalação do biodigestor será necessário somente um espaço externo plano feito com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 xml:space="preserve">concreto com as seguintes dimensões 480 </w:t>
      </w:r>
      <w:proofErr w:type="gramStart"/>
      <w:r w:rsidRPr="009C4579">
        <w:rPr>
          <w:rFonts w:ascii="Bookman Old Style" w:hAnsi="Bookman Old Style"/>
          <w:sz w:val="20"/>
          <w:szCs w:val="20"/>
        </w:rPr>
        <w:t>x</w:t>
      </w:r>
      <w:proofErr w:type="gramEnd"/>
      <w:r w:rsidRPr="009C4579">
        <w:rPr>
          <w:rFonts w:ascii="Bookman Old Style" w:hAnsi="Bookman Old Style"/>
          <w:sz w:val="20"/>
          <w:szCs w:val="20"/>
        </w:rPr>
        <w:t xml:space="preserve"> 220 cm que a Secretaria de Serviços Urbanos e Meio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Ambiente providencia</w:t>
      </w:r>
      <w:r w:rsidR="00684290" w:rsidRPr="009C4579">
        <w:rPr>
          <w:rFonts w:ascii="Bookman Old Style" w:hAnsi="Bookman Old Style"/>
          <w:sz w:val="20"/>
          <w:szCs w:val="20"/>
        </w:rPr>
        <w:t>rá. Podendo ficar exposto ao sol</w:t>
      </w:r>
      <w:r w:rsidRPr="009C4579">
        <w:rPr>
          <w:rFonts w:ascii="Bookman Old Style" w:hAnsi="Bookman Old Style"/>
          <w:sz w:val="20"/>
          <w:szCs w:val="20"/>
        </w:rPr>
        <w:t xml:space="preserve"> e chuva, pois a estrutura do mesmo é toda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isolada e vedada.</w:t>
      </w:r>
    </w:p>
    <w:p w:rsidR="009C4579" w:rsidRPr="009C4579" w:rsidRDefault="009C4579" w:rsidP="009C4579">
      <w:pPr>
        <w:spacing w:after="0" w:line="240" w:lineRule="auto"/>
        <w:ind w:firstLine="708"/>
        <w:jc w:val="both"/>
        <w:rPr>
          <w:rFonts w:ascii="Bookman Old Style" w:hAnsi="Bookman Old Style"/>
          <w:sz w:val="20"/>
          <w:szCs w:val="20"/>
        </w:rPr>
      </w:pPr>
    </w:p>
    <w:p w:rsidR="0043168B" w:rsidRDefault="0043168B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C4579">
        <w:rPr>
          <w:rFonts w:ascii="Bookman Old Style" w:hAnsi="Bookman Old Style"/>
          <w:b/>
          <w:sz w:val="20"/>
          <w:szCs w:val="20"/>
        </w:rPr>
        <w:t>4 - DO QUANTITATIVO/ESPECIFICAÇÕES TÉCNICASIVALORES REFERENCIAIS DE</w:t>
      </w:r>
      <w:r w:rsidR="00684290" w:rsidRPr="009C4579">
        <w:rPr>
          <w:rFonts w:ascii="Bookman Old Style" w:hAnsi="Bookman Old Style"/>
          <w:b/>
          <w:sz w:val="20"/>
          <w:szCs w:val="20"/>
        </w:rPr>
        <w:t xml:space="preserve"> MERCADO</w:t>
      </w:r>
      <w:r w:rsidR="009C4579">
        <w:rPr>
          <w:rFonts w:ascii="Bookman Old Style" w:hAnsi="Bookman Old Style"/>
          <w:b/>
          <w:sz w:val="20"/>
          <w:szCs w:val="20"/>
        </w:rPr>
        <w:t>.</w:t>
      </w:r>
    </w:p>
    <w:p w:rsidR="009C4579" w:rsidRPr="009C4579" w:rsidRDefault="009C4579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593"/>
        <w:gridCol w:w="673"/>
        <w:gridCol w:w="685"/>
        <w:gridCol w:w="4565"/>
        <w:gridCol w:w="1417"/>
        <w:gridCol w:w="1276"/>
      </w:tblGrid>
      <w:tr w:rsidR="00EC1351" w:rsidRPr="009C4579" w:rsidTr="009C4579">
        <w:tc>
          <w:tcPr>
            <w:tcW w:w="593" w:type="dxa"/>
          </w:tcPr>
          <w:p w:rsidR="00684290" w:rsidRPr="009C4579" w:rsidRDefault="00684290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Item</w:t>
            </w:r>
          </w:p>
        </w:tc>
        <w:tc>
          <w:tcPr>
            <w:tcW w:w="673" w:type="dxa"/>
          </w:tcPr>
          <w:p w:rsidR="00684290" w:rsidRPr="009C4579" w:rsidRDefault="00684290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Qtde.</w:t>
            </w:r>
          </w:p>
        </w:tc>
        <w:tc>
          <w:tcPr>
            <w:tcW w:w="685" w:type="dxa"/>
          </w:tcPr>
          <w:p w:rsidR="00684290" w:rsidRPr="009C4579" w:rsidRDefault="00684290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Unid.</w:t>
            </w:r>
          </w:p>
        </w:tc>
        <w:tc>
          <w:tcPr>
            <w:tcW w:w="4565" w:type="dxa"/>
          </w:tcPr>
          <w:p w:rsidR="00684290" w:rsidRPr="009C4579" w:rsidRDefault="00684290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Descrição do Material/Serviço</w:t>
            </w:r>
          </w:p>
        </w:tc>
        <w:tc>
          <w:tcPr>
            <w:tcW w:w="1417" w:type="dxa"/>
          </w:tcPr>
          <w:p w:rsidR="00684290" w:rsidRPr="009C4579" w:rsidRDefault="00684290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Preço Unitário</w:t>
            </w:r>
          </w:p>
        </w:tc>
        <w:tc>
          <w:tcPr>
            <w:tcW w:w="1276" w:type="dxa"/>
          </w:tcPr>
          <w:p w:rsidR="00684290" w:rsidRPr="009C4579" w:rsidRDefault="00684290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Preço Total</w:t>
            </w:r>
          </w:p>
        </w:tc>
      </w:tr>
      <w:tr w:rsidR="00EC1351" w:rsidRPr="009C4579" w:rsidTr="009C4579">
        <w:tc>
          <w:tcPr>
            <w:tcW w:w="593" w:type="dxa"/>
          </w:tcPr>
          <w:p w:rsidR="00684290" w:rsidRPr="009C4579" w:rsidRDefault="00684290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673" w:type="dxa"/>
          </w:tcPr>
          <w:p w:rsidR="00684290" w:rsidRPr="009C4579" w:rsidRDefault="00684290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01</w:t>
            </w:r>
          </w:p>
        </w:tc>
        <w:tc>
          <w:tcPr>
            <w:tcW w:w="685" w:type="dxa"/>
          </w:tcPr>
          <w:p w:rsidR="00684290" w:rsidRPr="009C4579" w:rsidRDefault="00684290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UNID</w:t>
            </w:r>
          </w:p>
        </w:tc>
        <w:tc>
          <w:tcPr>
            <w:tcW w:w="4565" w:type="dxa"/>
          </w:tcPr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>Biodigestor de pequeno porte Especificações Mínimas: Dimensões</w:t>
            </w: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: 400 | x 180 </w:t>
            </w:r>
            <w:proofErr w:type="gramStart"/>
            <w:r w:rsidRPr="009C4579">
              <w:rPr>
                <w:rFonts w:ascii="Bookman Old Style" w:hAnsi="Bookman Old Style"/>
                <w:sz w:val="16"/>
                <w:szCs w:val="16"/>
              </w:rPr>
              <w:t>x</w:t>
            </w:r>
            <w:proofErr w:type="gramEnd"/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 150 cm (CxLxA)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Volume do sistema: 6,8 mº 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>Vo</w:t>
            </w: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lume do tanque de gás: 2.500 L 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Volume do tangue do biodigestor: 4.300 L 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>Peso equipamento cheio: 4.600 kg</w:t>
            </w:r>
          </w:p>
          <w:p w:rsidR="00032731" w:rsidRPr="009C4579" w:rsidRDefault="00EC135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- Material: Lona</w:t>
            </w:r>
            <w:r w:rsidR="00032731" w:rsidRPr="009C4579">
              <w:rPr>
                <w:rFonts w:ascii="Bookman Old Style" w:hAnsi="Bookman Old Style"/>
                <w:sz w:val="16"/>
                <w:szCs w:val="16"/>
              </w:rPr>
              <w:t xml:space="preserve"> de Poletileno com proteção UV - </w:t>
            </w:r>
            <w:r w:rsidRPr="009C4579">
              <w:rPr>
                <w:rFonts w:ascii="Bookman Old Style" w:hAnsi="Bookman Old Style"/>
                <w:sz w:val="16"/>
                <w:szCs w:val="16"/>
              </w:rPr>
              <w:t>Entrada máxima de resíduos de cozinhaídia: 18L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Tempo de cozimento diário (queimador de chama única): até 5 horas. 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- 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O </w:t>
            </w: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kit de instalação deve conter: 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-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>Um f</w:t>
            </w: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ogareiro de biogás com 2 </w:t>
            </w:r>
            <w:r w:rsidR="00F447C1" w:rsidRPr="009C4579">
              <w:rPr>
                <w:rFonts w:ascii="Bookman Old Style" w:hAnsi="Bookman Old Style"/>
                <w:sz w:val="16"/>
                <w:szCs w:val="16"/>
              </w:rPr>
              <w:t>bocas Tubulação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 de gás externa (mínimo 10 metros) e tubulação de gás interna (mínimo 3 metros) « Filtro de gás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-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Uma pia de entrada com um êmbolo 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-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Saída combinada de gás e fertilizante 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-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Guia de montagem detalhado (impresso e arquivo digital) 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-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Garantia: mínimo 1 ano Recomendações e materiais para montagem do biodigestor: 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-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Areia seca (0,15 mº) 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-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Água (4,5 mº) </w:t>
            </w:r>
          </w:p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-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Ferramentas para montagem (chave de fenda, chave soquete, chave philips) </w:t>
            </w:r>
          </w:p>
          <w:p w:rsidR="00684290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-</w:t>
            </w:r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Área plana necessária: 2,7 </w:t>
            </w:r>
            <w:proofErr w:type="gramStart"/>
            <w:r w:rsidR="00EC1351" w:rsidRPr="009C4579">
              <w:rPr>
                <w:rFonts w:ascii="Bookman Old Style" w:hAnsi="Bookman Old Style"/>
                <w:sz w:val="16"/>
                <w:szCs w:val="16"/>
              </w:rPr>
              <w:t>x</w:t>
            </w:r>
            <w:proofErr w:type="gramEnd"/>
            <w:r w:rsidR="00EC1351" w:rsidRPr="009C4579">
              <w:rPr>
                <w:rFonts w:ascii="Bookman Old Style" w:hAnsi="Bookman Old Style"/>
                <w:sz w:val="16"/>
                <w:szCs w:val="16"/>
              </w:rPr>
              <w:t xml:space="preserve"> 5,2 metros, até 40m próximo ao fogão. </w:t>
            </w:r>
            <w:r w:rsidR="00877D43" w:rsidRPr="009C4579">
              <w:rPr>
                <w:rFonts w:ascii="Bookman Old Style" w:hAnsi="Bookman Old Style"/>
                <w:sz w:val="16"/>
                <w:szCs w:val="16"/>
              </w:rPr>
              <w:t>INCLUIN</w:t>
            </w:r>
            <w:r w:rsidR="00877D43">
              <w:rPr>
                <w:rFonts w:ascii="Bookman Old Style" w:hAnsi="Bookman Old Style"/>
                <w:sz w:val="16"/>
                <w:szCs w:val="16"/>
              </w:rPr>
              <w:t>DO INSTALAÇÃO E ENTREGA TÉCNICA</w:t>
            </w:r>
            <w:r w:rsidR="00877D43" w:rsidRPr="009C4579">
              <w:rPr>
                <w:rFonts w:ascii="Bookman Old Style" w:hAnsi="Bookman Old Style"/>
                <w:sz w:val="16"/>
                <w:szCs w:val="16"/>
              </w:rPr>
              <w:t>/</w:t>
            </w:r>
            <w:r w:rsidR="00877D43">
              <w:rPr>
                <w:rFonts w:ascii="Bookman Old Style" w:hAnsi="Bookman Old Style"/>
                <w:sz w:val="16"/>
                <w:szCs w:val="16"/>
              </w:rPr>
              <w:t xml:space="preserve"> TREINAMENTO / SU</w:t>
            </w:r>
            <w:r w:rsidR="00877D43" w:rsidRPr="009C4579">
              <w:rPr>
                <w:rFonts w:ascii="Bookman Old Style" w:hAnsi="Bookman Old Style"/>
                <w:sz w:val="16"/>
                <w:szCs w:val="16"/>
              </w:rPr>
              <w:t>PORTE ONLINE HB 7.0</w:t>
            </w:r>
          </w:p>
          <w:p w:rsidR="00A75FE7" w:rsidRPr="009C4579" w:rsidRDefault="00A75FE7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684290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 xml:space="preserve">R$ </w:t>
            </w:r>
            <w:r w:rsidR="00877D43" w:rsidRPr="009C4579">
              <w:rPr>
                <w:rFonts w:ascii="Bookman Old Style" w:hAnsi="Bookman Old Style"/>
                <w:sz w:val="16"/>
                <w:szCs w:val="16"/>
              </w:rPr>
              <w:t>25.700,00</w:t>
            </w:r>
          </w:p>
        </w:tc>
        <w:tc>
          <w:tcPr>
            <w:tcW w:w="1276" w:type="dxa"/>
          </w:tcPr>
          <w:p w:rsidR="00684290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R$</w:t>
            </w:r>
            <w:r w:rsidR="00877D43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877D43" w:rsidRPr="009C4579">
              <w:rPr>
                <w:rFonts w:ascii="Bookman Old Style" w:hAnsi="Bookman Old Style"/>
                <w:sz w:val="16"/>
                <w:szCs w:val="16"/>
              </w:rPr>
              <w:t>25.700,00</w:t>
            </w:r>
          </w:p>
        </w:tc>
      </w:tr>
      <w:tr w:rsidR="00032731" w:rsidRPr="009C4579" w:rsidTr="009C4579">
        <w:tc>
          <w:tcPr>
            <w:tcW w:w="6516" w:type="dxa"/>
            <w:gridSpan w:val="4"/>
          </w:tcPr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032731" w:rsidRPr="009C4579" w:rsidRDefault="00032731" w:rsidP="009C4579">
            <w:pPr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Total</w:t>
            </w:r>
          </w:p>
        </w:tc>
        <w:tc>
          <w:tcPr>
            <w:tcW w:w="1276" w:type="dxa"/>
          </w:tcPr>
          <w:p w:rsidR="00032731" w:rsidRPr="009C4579" w:rsidRDefault="00032731" w:rsidP="009C4579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C4579">
              <w:rPr>
                <w:rFonts w:ascii="Bookman Old Style" w:hAnsi="Bookman Old Style"/>
                <w:sz w:val="16"/>
                <w:szCs w:val="16"/>
              </w:rPr>
              <w:t>R$25.700,00</w:t>
            </w:r>
          </w:p>
        </w:tc>
      </w:tr>
    </w:tbl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C4579">
        <w:rPr>
          <w:rFonts w:ascii="Bookman Old Style" w:hAnsi="Bookman Old Style"/>
          <w:b/>
          <w:sz w:val="20"/>
          <w:szCs w:val="20"/>
        </w:rPr>
        <w:t>5 - DO PRAZO E DA VIGÊNCIA DO CONTRATO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5.1. O prazo para entrega dos objetos será de até 60 (sessenta) dias, contados da emissão da ordem</w:t>
      </w:r>
      <w:r w:rsidR="00684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de compra/contrato.</w:t>
      </w:r>
    </w:p>
    <w:p w:rsidR="003B69E8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5.2. A vigência da ordem de compra/contrato é de 90 (noventa) dia</w:t>
      </w:r>
      <w:r w:rsidR="005E6290" w:rsidRPr="009C4579">
        <w:rPr>
          <w:rFonts w:ascii="Bookman Old Style" w:hAnsi="Bookman Old Style"/>
          <w:sz w:val="20"/>
          <w:szCs w:val="20"/>
        </w:rPr>
        <w:t xml:space="preserve"> a contar da data de emissão da mesma.</w:t>
      </w:r>
    </w:p>
    <w:p w:rsidR="009C4579" w:rsidRPr="009C4579" w:rsidRDefault="009C4579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b/>
          <w:sz w:val="20"/>
          <w:szCs w:val="20"/>
        </w:rPr>
        <w:t>6- DA FISCALIZAÇÃO DO CONTRATO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6.1. Acompanhar a execução do contrato, para que sejam cumpridas todas as condições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estabelecidas no contrato, de modo a assegurar os melhores resultados para a Administração.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6.2. Anotar no histórico de gerenciamento do contrato todas as ocorrências relacionadas à execução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do contrato, com a descrição do que for necessário para a regularização das faltas ou dos defeitos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observados.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lastRenderedPageBreak/>
        <w:t>6.3. Identificada qualquer inexatidão ou irregularidade, o fiscal do contrato emitirá notificações para a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correção da execução do contrato, determinando prazo para a correção.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6.4. Informar ao gestor do contato, em tempo hábil, a situação que demandar decisão ou adoção de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medidas que ultrapassem sua competência, para que adote as medidas necessárias e saneadoras,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se for o caso.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6.5. No caso de ocorrências que possam inviabilizar a execução do contrato nas datas aprazadas, 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fiscal do contrato comunicará o fato imediatamente ao gestor do contrato.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6.6. Verificar a manutenção das condições de habilitação da contratada</w:t>
      </w:r>
      <w:r w:rsidR="003B69E8" w:rsidRPr="009C4579">
        <w:rPr>
          <w:rFonts w:ascii="Bookman Old Style" w:hAnsi="Bookman Old Style"/>
          <w:sz w:val="20"/>
          <w:szCs w:val="20"/>
        </w:rPr>
        <w:t xml:space="preserve"> acompanhará</w:t>
      </w:r>
      <w:r w:rsidRPr="009C4579">
        <w:rPr>
          <w:rFonts w:ascii="Bookman Old Style" w:hAnsi="Bookman Old Style"/>
          <w:sz w:val="20"/>
          <w:szCs w:val="20"/>
        </w:rPr>
        <w:t xml:space="preserve"> o empenho, 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pagamento, as garantias, as glosas e a formalização de apostilamento e termos aditivos, solicitando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quaisquer documentos comprobatórios pertinentes, caso necessário.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6.7. Caso </w:t>
      </w:r>
      <w:r w:rsidR="003B69E8" w:rsidRPr="009C4579">
        <w:rPr>
          <w:rFonts w:ascii="Bookman Old Style" w:hAnsi="Bookman Old Style"/>
          <w:sz w:val="20"/>
          <w:szCs w:val="20"/>
        </w:rPr>
        <w:t>ocorra</w:t>
      </w:r>
      <w:r w:rsidRPr="009C4579">
        <w:rPr>
          <w:rFonts w:ascii="Bookman Old Style" w:hAnsi="Bookman Old Style"/>
          <w:sz w:val="20"/>
          <w:szCs w:val="20"/>
        </w:rPr>
        <w:t xml:space="preserve"> descumprimento das obrigações contratuais, o fiscal do contrato atuará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tempestivamente na solução do problema, reportando ao gestor do contrato para que tome as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providências cabíveis, quando ultrapassar a sua competência.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</w:p>
    <w:p w:rsidR="005E6290" w:rsidRDefault="00B40A9E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6.8</w:t>
      </w:r>
      <w:r w:rsidR="0043168B" w:rsidRPr="009C4579">
        <w:rPr>
          <w:rFonts w:ascii="Bookman Old Style" w:hAnsi="Bookman Old Style"/>
          <w:sz w:val="20"/>
          <w:szCs w:val="20"/>
        </w:rPr>
        <w:t xml:space="preserve">. Ficam designados para fiscalização deste contrato os servidores, </w:t>
      </w:r>
      <w:r w:rsidR="005E6290" w:rsidRPr="009C4579">
        <w:rPr>
          <w:rFonts w:ascii="Bookman Old Style" w:hAnsi="Bookman Old Style"/>
          <w:sz w:val="20"/>
          <w:szCs w:val="20"/>
        </w:rPr>
        <w:t>Altair Carlos Dubay Martins e Evandro Fernandes.</w:t>
      </w:r>
    </w:p>
    <w:p w:rsidR="009C4579" w:rsidRPr="009C4579" w:rsidRDefault="009C4579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C4579">
        <w:rPr>
          <w:rFonts w:ascii="Bookman Old Style" w:hAnsi="Bookman Old Style"/>
          <w:b/>
          <w:sz w:val="20"/>
          <w:szCs w:val="20"/>
        </w:rPr>
        <w:t>7 - DAS CONDIÇÕES E LOCAL DE ENTREGA E RECEBIMENTO DO OBJETO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7.1. Independentemente da aceitação, a adjudicatária garantirá a qualidade dos equipamentos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obrigando-se a repor aquele que apresentar defeito ou for entregue em desacordo com 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apresentado na proposta.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7.2. O licitante vencedor ficará obrigado a trocar as suas expensas, no prazo máximo de 48 (quarenta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e oito) horas, a contar da notificação, o produto que vier a ser recusado, sendo que o ato de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recebimento não importará sua aceitação.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7.3. Em atendimento ao disposto no artigo 31 da Lei 8.078 de 11/09/1990, a apresentação do produto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deverá assegurar informações claras, precisas, ostensivas em língua portuguesa, sobre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="003B69E8" w:rsidRPr="009C4579">
        <w:rPr>
          <w:rFonts w:ascii="Bookman Old Style" w:hAnsi="Bookman Old Style"/>
          <w:sz w:val="20"/>
          <w:szCs w:val="20"/>
        </w:rPr>
        <w:t>características,</w:t>
      </w:r>
      <w:r w:rsidRPr="009C4579">
        <w:rPr>
          <w:rFonts w:ascii="Bookman Old Style" w:hAnsi="Bookman Old Style"/>
          <w:sz w:val="20"/>
          <w:szCs w:val="20"/>
        </w:rPr>
        <w:t xml:space="preserve"> marca, modelo, procedência, qualidade, quantidade, composição, preço, prazo de validade, origem e outros.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7.4. Correrão por conta do fornecedor todas as despesas relacionadas ao fornecimento, incluindo,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entre outras que possam existir, despesas com embalagem, seguros, transporte, tributos e encargos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trabalhistas e previdenciários.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7.5. Os produtos estarão sujeitos à verificação, pela unidade requisitante, da compatibilidade com as especificações deste Termo de Referência, no que se refere à quantidade, qualidade e perfeito funcionamento.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7.6. No caso de não cumprimento ou inobservância das exigências pactuadas para o fornecimento,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nos termos das previsões deste Termo de Referência, o fornecedor deverá providenciar a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substituição dos produtos, no prazo máximo de 48 (quarenta e oito) horas, contados do recebimento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da notificação, sem ônus para o Município, e independentemente de eventual aplicação das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penalidades cabíveis.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7.7. Se houver diferença entre as quantidades definidas em Contrato e as efetivamente entregues, 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fornecedor deverá providenciar a complementação necessária no prazo máximo de 48 (quarenta e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oito) horas, a contar da notificação, contados do recebimento da notificação.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7.8. Os materiais serão aceitos provisoriamente, o recebimento definitivo será feito após a verificação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da qualidade dos mesmos;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7.9. As entregas deverão ser realizadas pelo fornecedor, sendo vedada a entrega por transportadoras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sem que um representante do fornecedor se faça presente.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7.10. A entrega dos itens deverá ser realizada na </w:t>
      </w:r>
      <w:r w:rsidR="00766508" w:rsidRPr="009C4579">
        <w:rPr>
          <w:rFonts w:ascii="Bookman Old Style" w:hAnsi="Bookman Old Style"/>
          <w:sz w:val="20"/>
          <w:szCs w:val="20"/>
        </w:rPr>
        <w:t>Escola Municipal Dorival Magrinelli</w:t>
      </w:r>
      <w:r w:rsidRPr="009C4579">
        <w:rPr>
          <w:rFonts w:ascii="Bookman Old Style" w:hAnsi="Bookman Old Style"/>
          <w:sz w:val="20"/>
          <w:szCs w:val="20"/>
        </w:rPr>
        <w:t xml:space="preserve">, localiza na </w:t>
      </w:r>
      <w:r w:rsidR="00092EC0" w:rsidRPr="009C4579">
        <w:rPr>
          <w:rFonts w:ascii="Bookman Old Style" w:hAnsi="Bookman Old Style"/>
          <w:sz w:val="20"/>
          <w:szCs w:val="20"/>
        </w:rPr>
        <w:t>Rua Artur Januário  Angonesi, s/número</w:t>
      </w:r>
      <w:r w:rsidRPr="009C4579">
        <w:rPr>
          <w:rFonts w:ascii="Bookman Old Style" w:hAnsi="Bookman Old Style"/>
          <w:sz w:val="20"/>
          <w:szCs w:val="20"/>
        </w:rPr>
        <w:t xml:space="preserve">, </w:t>
      </w:r>
      <w:r w:rsidR="00092EC0" w:rsidRPr="009C4579">
        <w:rPr>
          <w:rFonts w:ascii="Bookman Old Style" w:hAnsi="Bookman Old Style"/>
          <w:sz w:val="20"/>
          <w:szCs w:val="20"/>
        </w:rPr>
        <w:t>B</w:t>
      </w:r>
      <w:r w:rsidR="005E6290" w:rsidRPr="009C4579">
        <w:rPr>
          <w:rFonts w:ascii="Bookman Old Style" w:hAnsi="Bookman Old Style"/>
          <w:sz w:val="20"/>
          <w:szCs w:val="20"/>
        </w:rPr>
        <w:t>airro</w:t>
      </w:r>
      <w:r w:rsidR="00766508" w:rsidRPr="009C4579">
        <w:rPr>
          <w:rFonts w:ascii="Bookman Old Style" w:hAnsi="Bookman Old Style"/>
          <w:color w:val="FF0000"/>
          <w:sz w:val="20"/>
          <w:szCs w:val="20"/>
        </w:rPr>
        <w:t xml:space="preserve"> </w:t>
      </w:r>
      <w:r w:rsidR="00766508" w:rsidRPr="009C4579">
        <w:rPr>
          <w:rFonts w:ascii="Bookman Old Style" w:hAnsi="Bookman Old Style"/>
          <w:sz w:val="20"/>
          <w:szCs w:val="20"/>
        </w:rPr>
        <w:t>Vila Catarina</w:t>
      </w:r>
      <w:r w:rsidRPr="009C4579">
        <w:rPr>
          <w:rFonts w:ascii="Bookman Old Style" w:hAnsi="Bookman Old Style"/>
          <w:sz w:val="20"/>
          <w:szCs w:val="20"/>
        </w:rPr>
        <w:t>,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 xml:space="preserve"> nesta cidade e comarca de S</w:t>
      </w:r>
      <w:r w:rsidR="005E6290" w:rsidRPr="009C4579">
        <w:rPr>
          <w:rFonts w:ascii="Bookman Old Style" w:hAnsi="Bookman Old Style"/>
          <w:sz w:val="20"/>
          <w:szCs w:val="20"/>
        </w:rPr>
        <w:t>anto Antônio do Sudoeste</w:t>
      </w:r>
      <w:r w:rsidRPr="009C4579">
        <w:rPr>
          <w:rFonts w:ascii="Bookman Old Style" w:hAnsi="Bookman Old Style"/>
          <w:sz w:val="20"/>
          <w:szCs w:val="20"/>
        </w:rPr>
        <w:t>, CEP 85</w:t>
      </w:r>
      <w:r w:rsidR="005E6290" w:rsidRPr="009C4579">
        <w:rPr>
          <w:rFonts w:ascii="Bookman Old Style" w:hAnsi="Bookman Old Style"/>
          <w:sz w:val="20"/>
          <w:szCs w:val="20"/>
        </w:rPr>
        <w:t>710</w:t>
      </w:r>
      <w:r w:rsidRPr="009C4579">
        <w:rPr>
          <w:rFonts w:ascii="Bookman Old Style" w:hAnsi="Bookman Old Style"/>
          <w:sz w:val="20"/>
          <w:szCs w:val="20"/>
        </w:rPr>
        <w:t>-000.</w:t>
      </w:r>
    </w:p>
    <w:p w:rsidR="0043168B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7</w:t>
      </w:r>
      <w:r w:rsidR="005E6290" w:rsidRPr="009C4579">
        <w:rPr>
          <w:rFonts w:ascii="Bookman Old Style" w:hAnsi="Bookman Old Style"/>
          <w:sz w:val="20"/>
          <w:szCs w:val="20"/>
        </w:rPr>
        <w:t>.</w:t>
      </w:r>
      <w:r w:rsidRPr="009C4579">
        <w:rPr>
          <w:rFonts w:ascii="Bookman Old Style" w:hAnsi="Bookman Old Style"/>
          <w:sz w:val="20"/>
          <w:szCs w:val="20"/>
        </w:rPr>
        <w:t>11</w:t>
      </w:r>
      <w:r w:rsidR="005E6290" w:rsidRPr="009C4579">
        <w:rPr>
          <w:rFonts w:ascii="Bookman Old Style" w:hAnsi="Bookman Old Style"/>
          <w:sz w:val="20"/>
          <w:szCs w:val="20"/>
        </w:rPr>
        <w:t>.</w:t>
      </w:r>
      <w:r w:rsidRPr="009C4579">
        <w:rPr>
          <w:rFonts w:ascii="Bookman Old Style" w:hAnsi="Bookman Old Style"/>
          <w:sz w:val="20"/>
          <w:szCs w:val="20"/>
        </w:rPr>
        <w:t xml:space="preserve"> Deverá a empresa realizar a instalação na </w:t>
      </w:r>
      <w:r w:rsidR="00766508" w:rsidRPr="009C4579">
        <w:rPr>
          <w:rFonts w:ascii="Bookman Old Style" w:hAnsi="Bookman Old Style"/>
          <w:sz w:val="20"/>
          <w:szCs w:val="20"/>
        </w:rPr>
        <w:t>Escola Municipal Dorival Magrinelli</w:t>
      </w:r>
      <w:r w:rsidR="005E6290" w:rsidRPr="009C4579">
        <w:rPr>
          <w:rFonts w:ascii="Bookman Old Style" w:hAnsi="Bookman Old Style"/>
          <w:sz w:val="20"/>
          <w:szCs w:val="20"/>
        </w:rPr>
        <w:t xml:space="preserve">, localiza na </w:t>
      </w:r>
      <w:r w:rsidR="00092EC0" w:rsidRPr="009C4579">
        <w:rPr>
          <w:rFonts w:ascii="Bookman Old Style" w:hAnsi="Bookman Old Style"/>
          <w:sz w:val="20"/>
          <w:szCs w:val="20"/>
        </w:rPr>
        <w:t xml:space="preserve">Rua Artur </w:t>
      </w:r>
      <w:r w:rsidR="00EA4EC7" w:rsidRPr="009C4579">
        <w:rPr>
          <w:rFonts w:ascii="Bookman Old Style" w:hAnsi="Bookman Old Style"/>
          <w:sz w:val="20"/>
          <w:szCs w:val="20"/>
        </w:rPr>
        <w:t>Januário Angonesi</w:t>
      </w:r>
      <w:r w:rsidR="00092EC0" w:rsidRPr="009C4579">
        <w:rPr>
          <w:rFonts w:ascii="Bookman Old Style" w:hAnsi="Bookman Old Style"/>
          <w:sz w:val="20"/>
          <w:szCs w:val="20"/>
        </w:rPr>
        <w:t>, s/</w:t>
      </w:r>
      <w:r w:rsidR="005E6290" w:rsidRPr="009C4579">
        <w:rPr>
          <w:rFonts w:ascii="Bookman Old Style" w:hAnsi="Bookman Old Style"/>
          <w:sz w:val="20"/>
          <w:szCs w:val="20"/>
        </w:rPr>
        <w:t xml:space="preserve">número, </w:t>
      </w:r>
      <w:r w:rsidR="00766508" w:rsidRPr="009C4579">
        <w:rPr>
          <w:rFonts w:ascii="Bookman Old Style" w:hAnsi="Bookman Old Style"/>
          <w:sz w:val="20"/>
          <w:szCs w:val="20"/>
        </w:rPr>
        <w:t>B</w:t>
      </w:r>
      <w:r w:rsidR="005E6290" w:rsidRPr="009C4579">
        <w:rPr>
          <w:rFonts w:ascii="Bookman Old Style" w:hAnsi="Bookman Old Style"/>
          <w:sz w:val="20"/>
          <w:szCs w:val="20"/>
        </w:rPr>
        <w:t xml:space="preserve">airro </w:t>
      </w:r>
      <w:r w:rsidR="00766508" w:rsidRPr="009C4579">
        <w:rPr>
          <w:rFonts w:ascii="Bookman Old Style" w:hAnsi="Bookman Old Style"/>
          <w:sz w:val="20"/>
          <w:szCs w:val="20"/>
        </w:rPr>
        <w:t xml:space="preserve">Vila Catarina, </w:t>
      </w:r>
      <w:r w:rsidR="005E6290" w:rsidRPr="009C4579">
        <w:rPr>
          <w:rFonts w:ascii="Bookman Old Style" w:hAnsi="Bookman Old Style"/>
          <w:sz w:val="20"/>
          <w:szCs w:val="20"/>
        </w:rPr>
        <w:t>nesta cidade e comarca de Santo Antônio do Sudoeste, CEP 85710-000</w:t>
      </w:r>
      <w:r w:rsidRPr="009C4579">
        <w:rPr>
          <w:rFonts w:ascii="Bookman Old Style" w:hAnsi="Bookman Old Style"/>
          <w:sz w:val="20"/>
          <w:szCs w:val="20"/>
        </w:rPr>
        <w:t>, bem como realizar treinamento de no mínimo de 4 (quatro)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horas para o bom uso do equipamento, para no mínimo 5 funcionários.</w:t>
      </w:r>
    </w:p>
    <w:p w:rsidR="009C4579" w:rsidRPr="009C4579" w:rsidRDefault="009C4579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C4579">
        <w:rPr>
          <w:rFonts w:ascii="Bookman Old Style" w:hAnsi="Bookman Old Style"/>
          <w:b/>
          <w:sz w:val="20"/>
          <w:szCs w:val="20"/>
        </w:rPr>
        <w:t>8-DAS</w:t>
      </w:r>
      <w:r w:rsidR="005E6290" w:rsidRPr="009C4579">
        <w:rPr>
          <w:rFonts w:ascii="Bookman Old Style" w:hAnsi="Bookman Old Style"/>
          <w:b/>
          <w:sz w:val="20"/>
          <w:szCs w:val="20"/>
        </w:rPr>
        <w:t xml:space="preserve"> </w:t>
      </w:r>
      <w:r w:rsidRPr="009C4579">
        <w:rPr>
          <w:rFonts w:ascii="Bookman Old Style" w:hAnsi="Bookman Old Style"/>
          <w:b/>
          <w:sz w:val="20"/>
          <w:szCs w:val="20"/>
        </w:rPr>
        <w:t>CONDIÇÕES DE PAGAMENTO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8.1. O pagamento será efetuado em 2 (duas) parcelas, a metade (50% do valor total) realizada em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até 30 (trinta) dias após a entrega e instalação, mediante apresentação da nota fiscal, a qual deverá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ser dividas uma contendo 90% do valor total e a outra 10% do valor total. E a outra parcela (restante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dos 50% do valor total) deverá ser após 90 dias da entrega e instalação, após a última visita do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 xml:space="preserve">técnico para assistência do equipamento. Em ambas </w:t>
      </w:r>
      <w:r w:rsidR="003B69E8" w:rsidRPr="009C4579">
        <w:rPr>
          <w:rFonts w:ascii="Bookman Old Style" w:hAnsi="Bookman Old Style"/>
          <w:sz w:val="20"/>
          <w:szCs w:val="20"/>
        </w:rPr>
        <w:t xml:space="preserve">as notas deverão </w:t>
      </w:r>
      <w:r w:rsidR="003B69E8" w:rsidRPr="009C4579">
        <w:rPr>
          <w:rFonts w:ascii="Bookman Old Style" w:hAnsi="Bookman Old Style"/>
          <w:sz w:val="20"/>
          <w:szCs w:val="20"/>
        </w:rPr>
        <w:lastRenderedPageBreak/>
        <w:t>constar</w:t>
      </w:r>
      <w:r w:rsidRPr="009C4579">
        <w:rPr>
          <w:rFonts w:ascii="Bookman Old Style" w:hAnsi="Bookman Old Style"/>
          <w:sz w:val="20"/>
          <w:szCs w:val="20"/>
        </w:rPr>
        <w:t xml:space="preserve"> o nº do </w:t>
      </w:r>
      <w:r w:rsidR="000171BB" w:rsidRPr="009C4579">
        <w:rPr>
          <w:rFonts w:ascii="Bookman Old Style" w:hAnsi="Bookman Old Style"/>
          <w:sz w:val="20"/>
          <w:szCs w:val="20"/>
        </w:rPr>
        <w:t>INSTRUMENTO DE REPASSE Nº 4124400/2023</w:t>
      </w:r>
      <w:r w:rsidRPr="009C4579">
        <w:rPr>
          <w:rFonts w:ascii="Bookman Old Style" w:hAnsi="Bookman Old Style"/>
          <w:sz w:val="20"/>
          <w:szCs w:val="20"/>
        </w:rPr>
        <w:t>, acompanhada dos seguintes documentos: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8.1.1. Laudo de acompanhamento dos serviços emitido pelo Fiscal do Contrato.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8.1.2. Certidão Conjunta Federal de Regularidade para com a Fazenda Federal através de Certidão</w:t>
      </w:r>
      <w:r w:rsidR="005E6290" w:rsidRPr="009C4579">
        <w:rPr>
          <w:rFonts w:ascii="Bookman Old Style" w:hAnsi="Bookman Old Style"/>
          <w:sz w:val="20"/>
          <w:szCs w:val="20"/>
        </w:rPr>
        <w:t xml:space="preserve"> Conjunta de Débitos Rel</w:t>
      </w:r>
      <w:r w:rsidRPr="009C4579">
        <w:rPr>
          <w:rFonts w:ascii="Bookman Old Style" w:hAnsi="Bookman Old Style"/>
          <w:sz w:val="20"/>
          <w:szCs w:val="20"/>
        </w:rPr>
        <w:t>ativos a Tributos Federais e à Divida Ativa da União;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8.1.3. Prova de regularidade de tributos Municipais;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8.1.4. Certificado de Regularidade do FGTS da empresa;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8.2. O município de S</w:t>
      </w:r>
      <w:r w:rsidR="005E6290" w:rsidRPr="009C4579">
        <w:rPr>
          <w:rFonts w:ascii="Bookman Old Style" w:hAnsi="Bookman Old Style"/>
          <w:sz w:val="20"/>
          <w:szCs w:val="20"/>
        </w:rPr>
        <w:t>anto Antônio do Sudoeste</w:t>
      </w:r>
      <w:r w:rsidRPr="009C4579">
        <w:rPr>
          <w:rFonts w:ascii="Bookman Old Style" w:hAnsi="Bookman Old Style"/>
          <w:sz w:val="20"/>
          <w:szCs w:val="20"/>
        </w:rPr>
        <w:t xml:space="preserve"> poderá deduzir do montante a pagar os valores correspondentes a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multas, dívidas ou indenizações devidas pelo fornecedor.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8.2.1. No caso de ocorrência de irregularidade ou inexecução parcial ou total do objeto do contrato, 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pagamento do saldo remanescente ficará suspenso, até ulterior decisão, para fins do contido no item</w:t>
      </w:r>
      <w:r w:rsidR="005E6290" w:rsidRPr="009C4579">
        <w:rPr>
          <w:rFonts w:ascii="Bookman Old Style" w:hAnsi="Bookman Old Style"/>
          <w:sz w:val="20"/>
          <w:szCs w:val="20"/>
        </w:rPr>
        <w:t>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8.2.1.1. O contido no item 8.2 e 8.2.1 será objeto de investigação através do competente processo</w:t>
      </w:r>
      <w:r w:rsidR="005E6290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administrativo;</w:t>
      </w:r>
    </w:p>
    <w:p w:rsidR="00766508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8.3. O pagamento efetuado não isentará o fornecedor das r</w:t>
      </w:r>
      <w:r w:rsidR="005E6290" w:rsidRPr="009C4579">
        <w:rPr>
          <w:rFonts w:ascii="Bookman Old Style" w:hAnsi="Bookman Old Style"/>
          <w:sz w:val="20"/>
          <w:szCs w:val="20"/>
        </w:rPr>
        <w:t xml:space="preserve">esponsabilidades decorrentes do </w:t>
      </w:r>
      <w:r w:rsidR="00766508" w:rsidRPr="009C4579">
        <w:rPr>
          <w:rFonts w:ascii="Bookman Old Style" w:hAnsi="Bookman Old Style"/>
          <w:sz w:val="20"/>
          <w:szCs w:val="20"/>
        </w:rPr>
        <w:t>fornecimento.</w:t>
      </w:r>
    </w:p>
    <w:p w:rsidR="00B76FD9" w:rsidRPr="009C4579" w:rsidRDefault="00B76FD9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Pr="009C4579" w:rsidRDefault="00EA4EC7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09</w:t>
      </w:r>
      <w:r w:rsidR="0043168B" w:rsidRPr="009C4579">
        <w:rPr>
          <w:rFonts w:ascii="Bookman Old Style" w:hAnsi="Bookman Old Style"/>
          <w:b/>
          <w:sz w:val="20"/>
          <w:szCs w:val="20"/>
        </w:rPr>
        <w:t xml:space="preserve"> - DAS OBRIGAÇÕES DA CONTRATANTE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10.1. Efetuar os pagamentos na forma e no prazo pactuado no contrato;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10.2. Disponibilizar à CONTRATADA as condições necessárias à regular execução do objeto do</w:t>
      </w:r>
      <w:r w:rsidR="00B76FD9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presente termo de referência;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10.3. Receber o objeto desse contrato nas condições avençadas.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10.4. Designar servidores como Fiscais de Contrato para aco</w:t>
      </w:r>
      <w:r w:rsidR="003B69E8" w:rsidRPr="009C4579">
        <w:rPr>
          <w:rFonts w:ascii="Bookman Old Style" w:hAnsi="Bookman Old Style"/>
          <w:sz w:val="20"/>
          <w:szCs w:val="20"/>
        </w:rPr>
        <w:t xml:space="preserve">mpanhar e fiscalizar a execução </w:t>
      </w:r>
      <w:r w:rsidRPr="009C4579">
        <w:rPr>
          <w:rFonts w:ascii="Bookman Old Style" w:hAnsi="Bookman Old Style"/>
          <w:sz w:val="20"/>
          <w:szCs w:val="20"/>
        </w:rPr>
        <w:t>contratual;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10.5. Acompanhar e fiscalizar a execução do contrato, verificando in loco, o fiel cumprimento das</w:t>
      </w:r>
      <w:r w:rsidR="00B76FD9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cláusulas pactuadas;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10.6. Permitir o livre acesso dos empregados da CONTRATADA às dependências da</w:t>
      </w:r>
      <w:r w:rsidR="00B76FD9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CONTRATANTE para tratar de assuntos pertinentes à execução do objeto desse Termo de</w:t>
      </w:r>
      <w:r w:rsidR="00B76FD9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Referência;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10.7. Rejeitar, no todo ou em parte, o serviço objeto desse Termo</w:t>
      </w:r>
      <w:r w:rsidR="00B76FD9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desacordo com o mesmo, bem como contrato respectivo;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10.8. Proporcionar as condições necessárias ao bom andamento da entrega do objeto em questão.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10.9. Impedir que terceiros </w:t>
      </w:r>
      <w:r w:rsidR="003B69E8" w:rsidRPr="009C4579">
        <w:rPr>
          <w:rFonts w:ascii="Bookman Old Style" w:hAnsi="Bookman Old Style"/>
          <w:sz w:val="20"/>
          <w:szCs w:val="20"/>
        </w:rPr>
        <w:t>executassem</w:t>
      </w:r>
      <w:r w:rsidRPr="009C4579">
        <w:rPr>
          <w:rFonts w:ascii="Bookman Old Style" w:hAnsi="Bookman Old Style"/>
          <w:sz w:val="20"/>
          <w:szCs w:val="20"/>
        </w:rPr>
        <w:t xml:space="preserve"> o fornecimento objeto da Contratação;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10.10. Comunicar oficialmente ao fornecedor quaisquer falhas ocorridas, consideradas de natureza</w:t>
      </w:r>
      <w:r w:rsidR="00B76FD9" w:rsidRPr="009C4579">
        <w:rPr>
          <w:rFonts w:ascii="Bookman Old Style" w:hAnsi="Bookman Old Style"/>
          <w:sz w:val="20"/>
          <w:szCs w:val="20"/>
        </w:rPr>
        <w:t xml:space="preserve"> </w:t>
      </w:r>
      <w:r w:rsidR="00C3005B" w:rsidRPr="009C4579">
        <w:rPr>
          <w:rFonts w:ascii="Bookman Old Style" w:hAnsi="Bookman Old Style"/>
          <w:sz w:val="20"/>
          <w:szCs w:val="20"/>
        </w:rPr>
        <w:t>grave;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10.11. Adequar as instalações e elétrica necessárias para o correto funcionamento do equipamento,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bem como o acondicionamento dos demais materiais.</w:t>
      </w:r>
    </w:p>
    <w:p w:rsidR="00C3005B" w:rsidRPr="009C4579" w:rsidRDefault="00C3005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Pr="009C4579" w:rsidRDefault="00EA4EC7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10</w:t>
      </w:r>
      <w:r w:rsidR="0043168B" w:rsidRPr="009C4579">
        <w:rPr>
          <w:rFonts w:ascii="Bookman Old Style" w:hAnsi="Bookman Old Style"/>
          <w:b/>
          <w:sz w:val="20"/>
          <w:szCs w:val="20"/>
        </w:rPr>
        <w:t xml:space="preserve"> </w:t>
      </w:r>
      <w:r w:rsidR="00C3005B" w:rsidRPr="009C4579">
        <w:rPr>
          <w:rFonts w:ascii="Bookman Old Style" w:hAnsi="Bookman Old Style"/>
          <w:b/>
          <w:sz w:val="20"/>
          <w:szCs w:val="20"/>
        </w:rPr>
        <w:t>- DAS OBRIGAÇÕES DA CONTRATADA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11,1. Ser responsável, em relação aos seus empregados, por t</w:t>
      </w:r>
      <w:r w:rsidR="00C3005B" w:rsidRPr="009C4579">
        <w:rPr>
          <w:rFonts w:ascii="Bookman Old Style" w:hAnsi="Bookman Old Style"/>
          <w:sz w:val="20"/>
          <w:szCs w:val="20"/>
        </w:rPr>
        <w:t xml:space="preserve">odas as despesas decorrentes do </w:t>
      </w:r>
      <w:r w:rsidRPr="009C4579">
        <w:rPr>
          <w:rFonts w:ascii="Bookman Old Style" w:hAnsi="Bookman Old Style"/>
          <w:sz w:val="20"/>
          <w:szCs w:val="20"/>
        </w:rPr>
        <w:t>fornecimento, tais como salários, seguros de acidentes, taxas, impostos e contribuições,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indenizações, vale refeição, vale-transporte e outras que porventura venham a ser criadas e exigidas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pela legislação;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11.2. Dispor da quantidade suficiente de mercadoria solicitada para o fornecimento, o qual deverá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 xml:space="preserve">sujeitar-se à condição de depositário </w:t>
      </w:r>
      <w:proofErr w:type="gramStart"/>
      <w:r w:rsidRPr="009C4579">
        <w:rPr>
          <w:rFonts w:ascii="Bookman Old Style" w:hAnsi="Bookman Old Style"/>
          <w:sz w:val="20"/>
          <w:szCs w:val="20"/>
        </w:rPr>
        <w:t>da(</w:t>
      </w:r>
      <w:proofErr w:type="gramEnd"/>
      <w:r w:rsidRPr="009C4579">
        <w:rPr>
          <w:rFonts w:ascii="Bookman Old Style" w:hAnsi="Bookman Old Style"/>
          <w:sz w:val="20"/>
          <w:szCs w:val="20"/>
        </w:rPr>
        <w:t>s) mercadoria(s) adquirida(s) até que totalmente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requisitada(s), sem que nenhum ônus seja debitado ao Município pelo armazenamento;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11.3. Manter durante toda a execução do contrato, em compatibilidade com as obrigações assumidas,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todas as condições de habilitação e qualificação exigidas na licitação;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11.4. Indicar o responsável por representá-la na execução do Contrato, assim como </w:t>
      </w:r>
      <w:proofErr w:type="gramStart"/>
      <w:r w:rsidRPr="009C4579">
        <w:rPr>
          <w:rFonts w:ascii="Bookman Old Style" w:hAnsi="Bookman Old Style"/>
          <w:sz w:val="20"/>
          <w:szCs w:val="20"/>
        </w:rPr>
        <w:t>a(</w:t>
      </w:r>
      <w:proofErr w:type="gramEnd"/>
      <w:r w:rsidRPr="009C4579">
        <w:rPr>
          <w:rFonts w:ascii="Bookman Old Style" w:hAnsi="Bookman Old Style"/>
          <w:sz w:val="20"/>
          <w:szCs w:val="20"/>
        </w:rPr>
        <w:t>s) pessoa(s)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 xml:space="preserve">que, na ausência do responsável, </w:t>
      </w:r>
      <w:r w:rsidR="003B69E8" w:rsidRPr="009C4579">
        <w:rPr>
          <w:rFonts w:ascii="Bookman Old Style" w:hAnsi="Bookman Old Style"/>
          <w:sz w:val="20"/>
          <w:szCs w:val="20"/>
        </w:rPr>
        <w:t>poderá substituí-lo</w:t>
      </w:r>
      <w:r w:rsidRPr="009C4579">
        <w:rPr>
          <w:rFonts w:ascii="Bookman Old Style" w:hAnsi="Bookman Old Style"/>
          <w:sz w:val="20"/>
          <w:szCs w:val="20"/>
        </w:rPr>
        <w:t>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11.5. Entregar as mercadorias dentro das especificações e/ou condições constantes neste Termo de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Referência;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11.6. Executar diretamente o Contrato, sem transferência de responsabilidades ou subcontratações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não autorizadas pelo Município;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11.7. Ser responsável pelos danos causados diretamente ao</w:t>
      </w:r>
      <w:r w:rsidR="00C3005B" w:rsidRPr="009C4579">
        <w:rPr>
          <w:rFonts w:ascii="Bookman Old Style" w:hAnsi="Bookman Old Style"/>
          <w:sz w:val="20"/>
          <w:szCs w:val="20"/>
        </w:rPr>
        <w:t xml:space="preserve"> Município de Santo Antônio do Sudoeste ou a </w:t>
      </w:r>
      <w:r w:rsidRPr="009C4579">
        <w:rPr>
          <w:rFonts w:ascii="Bookman Old Style" w:hAnsi="Bookman Old Style"/>
          <w:sz w:val="20"/>
          <w:szCs w:val="20"/>
        </w:rPr>
        <w:t>terceiros, decorrentes de sua culpa ou dolo;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lastRenderedPageBreak/>
        <w:t>11.8. Ser responsável por quaisquer danos causados diretam</w:t>
      </w:r>
      <w:r w:rsidR="00C3005B" w:rsidRPr="009C4579">
        <w:rPr>
          <w:rFonts w:ascii="Bookman Old Style" w:hAnsi="Bookman Old Style"/>
          <w:sz w:val="20"/>
          <w:szCs w:val="20"/>
        </w:rPr>
        <w:t>ente aos bens de propriedade do Município de Sant</w:t>
      </w:r>
      <w:r w:rsidR="00A75FE7">
        <w:rPr>
          <w:rFonts w:ascii="Bookman Old Style" w:hAnsi="Bookman Old Style"/>
          <w:sz w:val="20"/>
          <w:szCs w:val="20"/>
        </w:rPr>
        <w:t>o</w:t>
      </w:r>
      <w:r w:rsidR="00C3005B" w:rsidRPr="009C4579">
        <w:rPr>
          <w:rFonts w:ascii="Bookman Old Style" w:hAnsi="Bookman Old Style"/>
          <w:sz w:val="20"/>
          <w:szCs w:val="20"/>
        </w:rPr>
        <w:t xml:space="preserve"> Antônio do Sudoeste</w:t>
      </w:r>
      <w:r w:rsidRPr="009C4579">
        <w:rPr>
          <w:rFonts w:ascii="Bookman Old Style" w:hAnsi="Bookman Old Style"/>
          <w:sz w:val="20"/>
          <w:szCs w:val="20"/>
        </w:rPr>
        <w:t>, ou bens de terceiros, quando estes tenham sido ocasionados por seus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empregados.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11.9. Prestar todos os esclarecimentos que forem solicitados Município de S</w:t>
      </w:r>
      <w:r w:rsidR="00C3005B" w:rsidRPr="009C4579">
        <w:rPr>
          <w:rFonts w:ascii="Bookman Old Style" w:hAnsi="Bookman Old Style"/>
          <w:sz w:val="20"/>
          <w:szCs w:val="20"/>
        </w:rPr>
        <w:t xml:space="preserve">anto Antônio </w:t>
      </w:r>
      <w:proofErr w:type="gramStart"/>
      <w:r w:rsidR="00C3005B" w:rsidRPr="009C4579">
        <w:rPr>
          <w:rFonts w:ascii="Bookman Old Style" w:hAnsi="Bookman Old Style"/>
          <w:sz w:val="20"/>
          <w:szCs w:val="20"/>
        </w:rPr>
        <w:t>do  Sudoeste</w:t>
      </w:r>
      <w:proofErr w:type="gramEnd"/>
      <w:r w:rsidRPr="009C4579">
        <w:rPr>
          <w:rFonts w:ascii="Bookman Old Style" w:hAnsi="Bookman Old Style"/>
          <w:sz w:val="20"/>
          <w:szCs w:val="20"/>
        </w:rPr>
        <w:t>, obrigando</w:t>
      </w:r>
      <w:r w:rsidR="00C3005B" w:rsidRPr="009C4579">
        <w:rPr>
          <w:rFonts w:ascii="Bookman Old Style" w:hAnsi="Bookman Old Style"/>
          <w:sz w:val="20"/>
          <w:szCs w:val="20"/>
        </w:rPr>
        <w:t>-</w:t>
      </w:r>
      <w:r w:rsidRPr="009C4579">
        <w:rPr>
          <w:rFonts w:ascii="Bookman Old Style" w:hAnsi="Bookman Old Style"/>
          <w:sz w:val="20"/>
          <w:szCs w:val="20"/>
        </w:rPr>
        <w:t>se a atender, de imediato, todas as reclamações a respeito da qualidade da execução;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11.10. Substituir no prazo de 48 (quarenta e oito) horas, a contar da notificação, qualquer mercadoria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que não atenda às especificações técnicas exigidas pelo Município de Sant</w:t>
      </w:r>
      <w:r w:rsidR="00C3005B" w:rsidRPr="009C4579">
        <w:rPr>
          <w:rFonts w:ascii="Bookman Old Style" w:hAnsi="Bookman Old Style"/>
          <w:sz w:val="20"/>
          <w:szCs w:val="20"/>
        </w:rPr>
        <w:t>o Antônio do Sudoeste</w:t>
      </w:r>
      <w:r w:rsidRPr="009C4579">
        <w:rPr>
          <w:rFonts w:ascii="Bookman Old Style" w:hAnsi="Bookman Old Style"/>
          <w:sz w:val="20"/>
          <w:szCs w:val="20"/>
        </w:rPr>
        <w:t>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11.11. Comunicar po</w:t>
      </w:r>
      <w:r w:rsidR="00C3005B" w:rsidRPr="009C4579">
        <w:rPr>
          <w:rFonts w:ascii="Bookman Old Style" w:hAnsi="Bookman Old Style"/>
          <w:sz w:val="20"/>
          <w:szCs w:val="20"/>
        </w:rPr>
        <w:t>r escrito ao Município de Santo Antônio do Sudoeste</w:t>
      </w:r>
      <w:r w:rsidRPr="009C4579">
        <w:rPr>
          <w:rFonts w:ascii="Bookman Old Style" w:hAnsi="Bookman Old Style"/>
          <w:sz w:val="20"/>
          <w:szCs w:val="20"/>
        </w:rPr>
        <w:t xml:space="preserve"> qualquer anormalidade de caráter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urgente e prestar os esclarecimentos que julgar necessário;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11.12. Entregar </w:t>
      </w:r>
      <w:proofErr w:type="gramStart"/>
      <w:r w:rsidRPr="009C4579">
        <w:rPr>
          <w:rFonts w:ascii="Bookman Old Style" w:hAnsi="Bookman Old Style"/>
          <w:sz w:val="20"/>
          <w:szCs w:val="20"/>
        </w:rPr>
        <w:t>a(</w:t>
      </w:r>
      <w:proofErr w:type="gramEnd"/>
      <w:r w:rsidRPr="009C4579">
        <w:rPr>
          <w:rFonts w:ascii="Bookman Old Style" w:hAnsi="Bookman Old Style"/>
          <w:sz w:val="20"/>
          <w:szCs w:val="20"/>
        </w:rPr>
        <w:t>s) mercadorias(s), conforme solicitação da Secretaria competente, do Município de</w:t>
      </w:r>
      <w:r w:rsidR="00C3005B" w:rsidRPr="009C4579">
        <w:rPr>
          <w:rFonts w:ascii="Bookman Old Style" w:hAnsi="Bookman Old Style"/>
          <w:sz w:val="20"/>
          <w:szCs w:val="20"/>
        </w:rPr>
        <w:t xml:space="preserve"> Santo Antônio do Sudoeste</w:t>
      </w:r>
      <w:r w:rsidRPr="009C4579">
        <w:rPr>
          <w:rFonts w:ascii="Bookman Old Style" w:hAnsi="Bookman Old Style"/>
          <w:sz w:val="20"/>
          <w:szCs w:val="20"/>
        </w:rPr>
        <w:t>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11.13. Garantir a qualidade </w:t>
      </w:r>
      <w:proofErr w:type="gramStart"/>
      <w:r w:rsidRPr="009C4579">
        <w:rPr>
          <w:rFonts w:ascii="Bookman Old Style" w:hAnsi="Bookman Old Style"/>
          <w:sz w:val="20"/>
          <w:szCs w:val="20"/>
        </w:rPr>
        <w:t>da(</w:t>
      </w:r>
      <w:proofErr w:type="gramEnd"/>
      <w:r w:rsidRPr="009C4579">
        <w:rPr>
          <w:rFonts w:ascii="Bookman Old Style" w:hAnsi="Bookman Old Style"/>
          <w:sz w:val="20"/>
          <w:szCs w:val="20"/>
        </w:rPr>
        <w:t>s) mercadoria, obrigando-se a repor aquele que for entregue em</w:t>
      </w:r>
      <w:r w:rsidR="00C3005B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 xml:space="preserve">desacordo </w:t>
      </w:r>
      <w:r w:rsidR="000C2DC6" w:rsidRPr="009C4579">
        <w:rPr>
          <w:rFonts w:ascii="Bookman Old Style" w:hAnsi="Bookman Old Style"/>
          <w:sz w:val="20"/>
          <w:szCs w:val="20"/>
        </w:rPr>
        <w:t xml:space="preserve">com o apresentado na proposta; 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11.14. A Contratada obriga-se a entregar a Contratante, quando solicitado, análise da qualidade </w:t>
      </w:r>
      <w:proofErr w:type="gramStart"/>
      <w:r w:rsidRPr="009C4579">
        <w:rPr>
          <w:rFonts w:ascii="Bookman Old Style" w:hAnsi="Bookman Old Style"/>
          <w:sz w:val="20"/>
          <w:szCs w:val="20"/>
        </w:rPr>
        <w:t>da(</w:t>
      </w:r>
      <w:proofErr w:type="gramEnd"/>
      <w:r w:rsidRPr="009C4579">
        <w:rPr>
          <w:rFonts w:ascii="Bookman Old Style" w:hAnsi="Bookman Old Style"/>
          <w:sz w:val="20"/>
          <w:szCs w:val="20"/>
        </w:rPr>
        <w:t>s)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mercadoria(s) solicitada(s);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11,15. E de responsabilidade da Empresa fornecedora a montagem do equipamento arcando com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todas as despesas decorrentes do transporte dos equipamentos, pessoal, ferramentas, máquinas e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equipamentos (encanamento, tubulações, conexões e vedações do sistema), além de equipamentos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de segurança e dispositivos para descarga e movimentação interna.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11.15.1. A montagem, instalação e ativação do sistema operacional do biodigestor </w:t>
      </w:r>
      <w:r w:rsidR="003B69E8" w:rsidRPr="009C4579">
        <w:rPr>
          <w:rFonts w:ascii="Bookman Old Style" w:hAnsi="Bookman Old Style"/>
          <w:sz w:val="20"/>
          <w:szCs w:val="20"/>
        </w:rPr>
        <w:t>deverão acontecer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no máximo 10 dias após a entrega do equipamento.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11.15.2. A Empresa fornecedora do biodigestor deverá entregar os produtos com as especificações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contidas nesse termo de referência.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11.16. A empresa contratada deverá providenciar o “startup”</w:t>
      </w:r>
      <w:r w:rsidR="000C2DC6" w:rsidRPr="009C4579">
        <w:rPr>
          <w:rFonts w:ascii="Bookman Old Style" w:hAnsi="Bookman Old Style"/>
          <w:sz w:val="20"/>
          <w:szCs w:val="20"/>
        </w:rPr>
        <w:t xml:space="preserve"> do equipamento, com o material </w:t>
      </w:r>
      <w:r w:rsidRPr="009C4579">
        <w:rPr>
          <w:rFonts w:ascii="Bookman Old Style" w:hAnsi="Bookman Old Style"/>
          <w:sz w:val="20"/>
          <w:szCs w:val="20"/>
        </w:rPr>
        <w:t>orgânico específico para ativação do sistema, através de técnico habilitado (possuindo registro no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CREA, CRQ ou CRBio).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11.16.1. A empresa deverá dar assistência, por técnico habilitado (possuindo registro no CREA, CRQ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ou CRBio), realizar visitas periódicas, sendo uma após 30 dias da instalação, outra após 60 dias da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instalação e outra após 90 dias da instalação do equipamento.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11.16.2. A cada visita, o técnico responsável deverá analisar o quantitativo da produção de biogás do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sistema, a alimentação, análise do pH e orientar sobre a manutenção do sistema.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11.17. Dar garantia dos equipamentos, não inferior a 12 (doze) meses contados a partir da entrega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dos equipamentos para operação e garantia de 30 (trinta) dias referente à mão de obra.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11.17.1. Durante o período de garantia a reposição de peças e mão de obra, originadas de ocorrência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comprovadamente como garantia, deverá ser efetuada de forma gratuita, arcando a contratada com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todos os custos inerentes, incluindo o translado e alimentação de seus técnicos.</w:t>
      </w:r>
    </w:p>
    <w:p w:rsidR="000C2DC6" w:rsidRPr="009C4579" w:rsidRDefault="000C2DC6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Pr="009C4579" w:rsidRDefault="00EA4EC7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11</w:t>
      </w:r>
      <w:r w:rsidR="003B69E8" w:rsidRPr="009C4579">
        <w:rPr>
          <w:rFonts w:ascii="Bookman Old Style" w:hAnsi="Bookman Old Style"/>
          <w:b/>
          <w:sz w:val="20"/>
          <w:szCs w:val="20"/>
        </w:rPr>
        <w:t xml:space="preserve"> - DOCUMENTAÇÕES</w:t>
      </w:r>
      <w:r w:rsidR="000C2DC6" w:rsidRPr="009C4579">
        <w:rPr>
          <w:rFonts w:ascii="Bookman Old Style" w:hAnsi="Bookman Old Style"/>
          <w:b/>
          <w:sz w:val="20"/>
          <w:szCs w:val="20"/>
        </w:rPr>
        <w:t xml:space="preserve"> PARA HABILITAÇÃO </w:t>
      </w:r>
    </w:p>
    <w:p w:rsidR="0043168B" w:rsidRPr="00F5031F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12.1. </w:t>
      </w:r>
      <w:r w:rsidRPr="00F5031F">
        <w:rPr>
          <w:rFonts w:ascii="Bookman Old Style" w:hAnsi="Bookman Old Style"/>
          <w:sz w:val="20"/>
          <w:szCs w:val="20"/>
        </w:rPr>
        <w:t>A Empresa proponente deverá apresentar catálogo com as especificações do equipamento</w:t>
      </w:r>
    </w:p>
    <w:p w:rsidR="0043168B" w:rsidRPr="00F5031F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5031F">
        <w:rPr>
          <w:rFonts w:ascii="Bookman Old Style" w:hAnsi="Bookman Old Style"/>
          <w:sz w:val="20"/>
          <w:szCs w:val="20"/>
        </w:rPr>
        <w:t>12.2. Declaração de garantia dos equipamentos, a qual não poderá ser inferior a 12 (doze) meses</w:t>
      </w:r>
      <w:r w:rsidR="000C2DC6" w:rsidRPr="00F5031F">
        <w:rPr>
          <w:rFonts w:ascii="Bookman Old Style" w:hAnsi="Bookman Old Style"/>
          <w:sz w:val="20"/>
          <w:szCs w:val="20"/>
        </w:rPr>
        <w:t xml:space="preserve"> </w:t>
      </w:r>
      <w:r w:rsidRPr="00F5031F">
        <w:rPr>
          <w:rFonts w:ascii="Bookman Old Style" w:hAnsi="Bookman Old Style"/>
          <w:sz w:val="20"/>
          <w:szCs w:val="20"/>
        </w:rPr>
        <w:t>contados a partir da entrega dos equipamentos para operação.</w:t>
      </w:r>
    </w:p>
    <w:p w:rsidR="0043168B" w:rsidRPr="00F5031F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5031F">
        <w:rPr>
          <w:rFonts w:ascii="Bookman Old Style" w:hAnsi="Bookman Old Style"/>
          <w:sz w:val="20"/>
          <w:szCs w:val="20"/>
        </w:rPr>
        <w:t>12.3. Declaração de que tem pleno conhecimento da estrutura e condições do local de instalação.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F5031F">
        <w:rPr>
          <w:rFonts w:ascii="Bookman Old Style" w:hAnsi="Bookman Old Style"/>
          <w:sz w:val="20"/>
          <w:szCs w:val="20"/>
        </w:rPr>
        <w:t>12.4. Declaração de que a entrega técnica será efetuada no local determinado pelo órgão, por técnico</w:t>
      </w:r>
      <w:r w:rsidR="000C2DC6" w:rsidRPr="00F5031F">
        <w:rPr>
          <w:rFonts w:ascii="Bookman Old Style" w:hAnsi="Bookman Old Style"/>
          <w:sz w:val="20"/>
          <w:szCs w:val="20"/>
        </w:rPr>
        <w:t xml:space="preserve"> </w:t>
      </w:r>
      <w:r w:rsidRPr="00F5031F">
        <w:rPr>
          <w:rFonts w:ascii="Bookman Old Style" w:hAnsi="Bookman Old Style"/>
          <w:sz w:val="20"/>
          <w:szCs w:val="20"/>
        </w:rPr>
        <w:t>especializado, para transmitir informações técnicas sobre operação, o emprego, a manutenção básica</w:t>
      </w:r>
      <w:r w:rsidR="000C2DC6" w:rsidRPr="00F5031F">
        <w:rPr>
          <w:rFonts w:ascii="Bookman Old Style" w:hAnsi="Bookman Old Style"/>
          <w:sz w:val="20"/>
          <w:szCs w:val="20"/>
        </w:rPr>
        <w:t xml:space="preserve"> </w:t>
      </w:r>
      <w:r w:rsidRPr="00F5031F">
        <w:rPr>
          <w:rFonts w:ascii="Bookman Old Style" w:hAnsi="Bookman Old Style"/>
          <w:sz w:val="20"/>
          <w:szCs w:val="20"/>
        </w:rPr>
        <w:t>e a segurança do equipamento a todos interessados enviados pelo adquirente.</w:t>
      </w:r>
      <w:r w:rsidR="00F13D01">
        <w:rPr>
          <w:rFonts w:ascii="Bookman Old Style" w:hAnsi="Bookman Old Style"/>
          <w:sz w:val="20"/>
          <w:szCs w:val="20"/>
        </w:rPr>
        <w:t xml:space="preserve">   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12.5. Os demais documentos de habilitação e documentos de regularidade </w:t>
      </w:r>
      <w:r w:rsidR="003B69E8" w:rsidRPr="009C4579">
        <w:rPr>
          <w:rFonts w:ascii="Bookman Old Style" w:hAnsi="Bookman Old Style"/>
          <w:sz w:val="20"/>
          <w:szCs w:val="20"/>
        </w:rPr>
        <w:t>fiscais exigidos</w:t>
      </w:r>
      <w:r w:rsidRPr="009C4579">
        <w:rPr>
          <w:rFonts w:ascii="Bookman Old Style" w:hAnsi="Bookman Old Style"/>
          <w:sz w:val="20"/>
          <w:szCs w:val="20"/>
        </w:rPr>
        <w:t xml:space="preserve"> para esta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contratação serão os usuais previstos pela legislação vigente.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12.6. Comprovante de o Licitante possuir aptidão técnico-operacional da empresa para desempenho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da atividade pertinente e compatível com o objeto da Licitação, através de um ou mais atestados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fornecido por pessoa jurídica de direito público ou privado (com firma reconhecida em caso de pessoa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 xml:space="preserve">jurídica de direito privado), por execução fornecimento e </w:t>
      </w:r>
      <w:r w:rsidRPr="009C4579">
        <w:rPr>
          <w:rFonts w:ascii="Bookman Old Style" w:hAnsi="Bookman Old Style"/>
          <w:sz w:val="20"/>
          <w:szCs w:val="20"/>
        </w:rPr>
        <w:lastRenderedPageBreak/>
        <w:t>instalação de biodigestor de características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semelhantes de complexidade tecnológica e operacional equivalente ou superior.</w:t>
      </w:r>
      <w:r w:rsidR="00F13D01">
        <w:rPr>
          <w:rFonts w:ascii="Bookman Old Style" w:hAnsi="Bookman Old Style"/>
          <w:sz w:val="20"/>
          <w:szCs w:val="20"/>
        </w:rPr>
        <w:t xml:space="preserve"> </w:t>
      </w:r>
    </w:p>
    <w:p w:rsidR="000C2DC6" w:rsidRPr="009C4579" w:rsidRDefault="000C2DC6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Pr="009C4579" w:rsidRDefault="00EA4EC7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12</w:t>
      </w:r>
      <w:r w:rsidR="000C2DC6" w:rsidRPr="009C4579">
        <w:rPr>
          <w:rFonts w:ascii="Bookman Old Style" w:hAnsi="Bookman Old Style"/>
          <w:b/>
          <w:sz w:val="20"/>
          <w:szCs w:val="20"/>
        </w:rPr>
        <w:t xml:space="preserve"> - DA RESCISÃO CONTRATUAL </w:t>
      </w:r>
    </w:p>
    <w:p w:rsidR="0043168B" w:rsidRPr="00970D4D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70D4D">
        <w:rPr>
          <w:rFonts w:ascii="Bookman Old Style" w:hAnsi="Bookman Old Style"/>
          <w:sz w:val="20"/>
          <w:szCs w:val="20"/>
        </w:rPr>
        <w:t>13.1. O contrato poderá ser rescindido caso ocorram quaisque</w:t>
      </w:r>
      <w:r w:rsidR="009C4579" w:rsidRPr="00970D4D">
        <w:rPr>
          <w:rFonts w:ascii="Bookman Old Style" w:hAnsi="Bookman Old Style"/>
          <w:sz w:val="20"/>
          <w:szCs w:val="20"/>
        </w:rPr>
        <w:t>r dos fatos elencados no art. 90</w:t>
      </w:r>
      <w:r w:rsidRPr="00970D4D">
        <w:rPr>
          <w:rFonts w:ascii="Bookman Old Style" w:hAnsi="Bookman Old Style"/>
          <w:sz w:val="20"/>
          <w:szCs w:val="20"/>
        </w:rPr>
        <w:t>, e</w:t>
      </w:r>
      <w:r w:rsidR="000C2DC6" w:rsidRPr="00970D4D">
        <w:rPr>
          <w:rFonts w:ascii="Bookman Old Style" w:hAnsi="Bookman Old Style"/>
          <w:sz w:val="20"/>
          <w:szCs w:val="20"/>
        </w:rPr>
        <w:t xml:space="preserve"> </w:t>
      </w:r>
      <w:r w:rsidRPr="00970D4D">
        <w:rPr>
          <w:rFonts w:ascii="Bookman Old Style" w:hAnsi="Bookman Old Style"/>
          <w:sz w:val="20"/>
          <w:szCs w:val="20"/>
        </w:rPr>
        <w:t xml:space="preserve">seguintes da Lei </w:t>
      </w:r>
      <w:bookmarkStart w:id="0" w:name="_GoBack"/>
      <w:bookmarkEnd w:id="0"/>
      <w:r w:rsidR="00F5031F" w:rsidRPr="00970D4D">
        <w:rPr>
          <w:rFonts w:ascii="Bookman Old Style" w:hAnsi="Bookman Old Style"/>
          <w:sz w:val="20"/>
          <w:szCs w:val="20"/>
        </w:rPr>
        <w:t>n. º</w:t>
      </w:r>
      <w:r w:rsidRPr="00970D4D">
        <w:rPr>
          <w:rFonts w:ascii="Bookman Old Style" w:hAnsi="Bookman Old Style"/>
          <w:sz w:val="20"/>
          <w:szCs w:val="20"/>
        </w:rPr>
        <w:t xml:space="preserve"> </w:t>
      </w:r>
      <w:r w:rsidR="009C4579" w:rsidRPr="00970D4D">
        <w:rPr>
          <w:rFonts w:ascii="Bookman Old Style" w:hAnsi="Bookman Old Style"/>
          <w:sz w:val="20"/>
          <w:szCs w:val="20"/>
        </w:rPr>
        <w:t>14.133/21</w:t>
      </w:r>
      <w:r w:rsidRPr="00970D4D">
        <w:rPr>
          <w:rFonts w:ascii="Bookman Old Style" w:hAnsi="Bookman Old Style"/>
          <w:sz w:val="20"/>
          <w:szCs w:val="20"/>
        </w:rPr>
        <w:t>.</w:t>
      </w:r>
    </w:p>
    <w:p w:rsidR="0043168B" w:rsidRPr="00970D4D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70D4D">
        <w:rPr>
          <w:rFonts w:ascii="Bookman Old Style" w:hAnsi="Bookman Old Style"/>
          <w:sz w:val="20"/>
          <w:szCs w:val="20"/>
        </w:rPr>
        <w:t>13.2. A Contratada reconhece os direitos da Contratante em caso de rescisão administrativa prevista</w:t>
      </w:r>
      <w:r w:rsidR="000C2DC6" w:rsidRPr="00970D4D">
        <w:rPr>
          <w:rFonts w:ascii="Bookman Old Style" w:hAnsi="Bookman Old Style"/>
          <w:sz w:val="20"/>
          <w:szCs w:val="20"/>
        </w:rPr>
        <w:t xml:space="preserve"> </w:t>
      </w:r>
      <w:r w:rsidR="009C4579" w:rsidRPr="00970D4D">
        <w:rPr>
          <w:rFonts w:ascii="Bookman Old Style" w:hAnsi="Bookman Old Style"/>
          <w:sz w:val="20"/>
          <w:szCs w:val="20"/>
        </w:rPr>
        <w:t>no art. 92</w:t>
      </w:r>
      <w:r w:rsidRPr="00970D4D">
        <w:rPr>
          <w:rFonts w:ascii="Bookman Old Style" w:hAnsi="Bookman Old Style"/>
          <w:sz w:val="20"/>
          <w:szCs w:val="20"/>
        </w:rPr>
        <w:t xml:space="preserve"> da Lei nº. </w:t>
      </w:r>
      <w:r w:rsidR="00970D4D" w:rsidRPr="00970D4D">
        <w:rPr>
          <w:rFonts w:ascii="Bookman Old Style" w:hAnsi="Bookman Old Style"/>
          <w:sz w:val="20"/>
          <w:szCs w:val="20"/>
        </w:rPr>
        <w:t>14.133/21</w:t>
      </w:r>
      <w:r w:rsidRPr="00970D4D">
        <w:rPr>
          <w:rFonts w:ascii="Bookman Old Style" w:hAnsi="Bookman Old Style"/>
          <w:sz w:val="20"/>
          <w:szCs w:val="20"/>
        </w:rPr>
        <w:t>, no que for pertinente.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13.3. A rescisão do contrato poderá ser:</w:t>
      </w:r>
    </w:p>
    <w:p w:rsidR="0043168B" w:rsidRPr="009C4579" w:rsidRDefault="00F447C1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a) por</w:t>
      </w:r>
      <w:r w:rsidR="0043168B" w:rsidRPr="009C4579">
        <w:rPr>
          <w:rFonts w:ascii="Bookman Old Style" w:hAnsi="Bookman Old Style"/>
          <w:sz w:val="20"/>
          <w:szCs w:val="20"/>
        </w:rPr>
        <w:t xml:space="preserve"> ato unilateral nos casos específicos;</w:t>
      </w:r>
    </w:p>
    <w:p w:rsidR="0043168B" w:rsidRPr="009C4579" w:rsidRDefault="00F447C1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b) consensual</w:t>
      </w:r>
      <w:r w:rsidR="0043168B" w:rsidRPr="009C4579">
        <w:rPr>
          <w:rFonts w:ascii="Bookman Old Style" w:hAnsi="Bookman Old Style"/>
          <w:sz w:val="20"/>
          <w:szCs w:val="20"/>
        </w:rPr>
        <w:t>, por acordo das partes;</w:t>
      </w:r>
    </w:p>
    <w:p w:rsidR="0043168B" w:rsidRPr="009C4579" w:rsidRDefault="00F447C1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c) judicial</w:t>
      </w:r>
      <w:r w:rsidR="0043168B" w:rsidRPr="009C4579">
        <w:rPr>
          <w:rFonts w:ascii="Bookman Old Style" w:hAnsi="Bookman Old Style"/>
          <w:sz w:val="20"/>
          <w:szCs w:val="20"/>
        </w:rPr>
        <w:t>, nos termos da legislação.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Pr="009C4579" w:rsidRDefault="00EA4EC7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13</w:t>
      </w:r>
      <w:r w:rsidR="0043168B" w:rsidRPr="009C4579">
        <w:rPr>
          <w:rFonts w:ascii="Bookman Old Style" w:hAnsi="Bookman Old Style"/>
          <w:b/>
          <w:sz w:val="20"/>
          <w:szCs w:val="20"/>
        </w:rPr>
        <w:t xml:space="preserve"> - DO FORO E DAS DISPOSIÇÕES GERAIS</w:t>
      </w:r>
    </w:p>
    <w:p w:rsidR="0043168B" w:rsidRPr="009C4579" w:rsidRDefault="0043168B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14.1. Fica eleito o foro da Comarca de Sant</w:t>
      </w:r>
      <w:r w:rsidR="000C2DC6" w:rsidRPr="009C4579">
        <w:rPr>
          <w:rFonts w:ascii="Bookman Old Style" w:hAnsi="Bookman Old Style"/>
          <w:sz w:val="20"/>
          <w:szCs w:val="20"/>
        </w:rPr>
        <w:t>o Antônio do Sudoeste - PR</w:t>
      </w:r>
      <w:r w:rsidRPr="009C4579">
        <w:rPr>
          <w:rFonts w:ascii="Bookman Old Style" w:hAnsi="Bookman Old Style"/>
          <w:sz w:val="20"/>
          <w:szCs w:val="20"/>
        </w:rPr>
        <w:t>, para dirimir toda e qualquer controvérsia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oriunda do presente Termo de Referência, que não possa ser resolvida pela via administrativa,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renunciando-se, desde já, a qualquer outro, por mais privilegiado que seja.</w:t>
      </w:r>
    </w:p>
    <w:p w:rsidR="0043168B" w:rsidRDefault="0043168B" w:rsidP="009C457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Sant</w:t>
      </w:r>
      <w:r w:rsidR="00F50729">
        <w:rPr>
          <w:rFonts w:ascii="Bookman Old Style" w:hAnsi="Bookman Old Style"/>
          <w:sz w:val="20"/>
          <w:szCs w:val="20"/>
        </w:rPr>
        <w:t>o Antônio do Sudoeste, 04</w:t>
      </w:r>
      <w:r w:rsidRPr="009C4579">
        <w:rPr>
          <w:rFonts w:ascii="Bookman Old Style" w:hAnsi="Bookman Old Style"/>
          <w:sz w:val="20"/>
          <w:szCs w:val="20"/>
        </w:rPr>
        <w:t xml:space="preserve"> de </w:t>
      </w:r>
      <w:r w:rsidR="00F50729">
        <w:rPr>
          <w:rFonts w:ascii="Bookman Old Style" w:hAnsi="Bookman Old Style"/>
          <w:sz w:val="20"/>
          <w:szCs w:val="20"/>
        </w:rPr>
        <w:t>março</w:t>
      </w:r>
      <w:r w:rsidR="000C2DC6" w:rsidRPr="009C4579">
        <w:rPr>
          <w:rFonts w:ascii="Bookman Old Style" w:hAnsi="Bookman Old Style"/>
          <w:sz w:val="20"/>
          <w:szCs w:val="20"/>
        </w:rPr>
        <w:t xml:space="preserve"> </w:t>
      </w:r>
      <w:r w:rsidRPr="009C4579">
        <w:rPr>
          <w:rFonts w:ascii="Bookman Old Style" w:hAnsi="Bookman Old Style"/>
          <w:sz w:val="20"/>
          <w:szCs w:val="20"/>
        </w:rPr>
        <w:t>de 202</w:t>
      </w:r>
      <w:r w:rsidR="000C2DC6" w:rsidRPr="009C4579">
        <w:rPr>
          <w:rFonts w:ascii="Bookman Old Style" w:hAnsi="Bookman Old Style"/>
          <w:sz w:val="20"/>
          <w:szCs w:val="20"/>
        </w:rPr>
        <w:t>4</w:t>
      </w:r>
      <w:r w:rsidRPr="009C4579">
        <w:rPr>
          <w:rFonts w:ascii="Bookman Old Style" w:hAnsi="Bookman Old Style"/>
          <w:sz w:val="20"/>
          <w:szCs w:val="20"/>
        </w:rPr>
        <w:t>.</w:t>
      </w:r>
    </w:p>
    <w:p w:rsidR="00877D43" w:rsidRDefault="00877D43" w:rsidP="009C457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877D43" w:rsidRDefault="00877D43" w:rsidP="009C457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877D43" w:rsidRPr="009C4579" w:rsidRDefault="00877D43" w:rsidP="009C4579">
      <w:pPr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</w:p>
    <w:p w:rsidR="000C2DC6" w:rsidRPr="009C4579" w:rsidRDefault="000C2DC6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43168B" w:rsidRDefault="0043168B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C4579">
        <w:rPr>
          <w:rFonts w:ascii="Bookman Old Style" w:hAnsi="Bookman Old Style"/>
          <w:b/>
          <w:sz w:val="20"/>
          <w:szCs w:val="20"/>
        </w:rPr>
        <w:t>RESPONSÁVEL PELA ELABORAÇÃO DO TERMO</w:t>
      </w:r>
      <w:r w:rsidR="00F50729">
        <w:rPr>
          <w:rFonts w:ascii="Bookman Old Style" w:hAnsi="Bookman Old Style"/>
          <w:b/>
          <w:sz w:val="20"/>
          <w:szCs w:val="20"/>
        </w:rPr>
        <w:t>:</w:t>
      </w:r>
    </w:p>
    <w:p w:rsidR="00F50729" w:rsidRDefault="00F50729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50729" w:rsidRPr="009C4579" w:rsidRDefault="00F50729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0C2DC6" w:rsidRPr="009C4579" w:rsidRDefault="000C2DC6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0C2DC6" w:rsidRPr="009C4579" w:rsidRDefault="000C2DC6" w:rsidP="009C4579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__________________________</w:t>
      </w:r>
    </w:p>
    <w:p w:rsidR="0043168B" w:rsidRPr="009C4579" w:rsidRDefault="000C2DC6" w:rsidP="009C4579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Altair Carlos Dubay Martins</w:t>
      </w:r>
    </w:p>
    <w:p w:rsidR="00FE2531" w:rsidRDefault="00FE2531" w:rsidP="009C4579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Engenheiro Agrônomo</w:t>
      </w:r>
    </w:p>
    <w:p w:rsidR="00F50729" w:rsidRPr="009C4579" w:rsidRDefault="00F50729" w:rsidP="009C4579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FE2531" w:rsidRPr="009C4579" w:rsidRDefault="00FE2531" w:rsidP="009C4579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43168B" w:rsidRDefault="0043168B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9C4579">
        <w:rPr>
          <w:rFonts w:ascii="Bookman Old Style" w:hAnsi="Bookman Old Style"/>
          <w:b/>
          <w:sz w:val="20"/>
          <w:szCs w:val="20"/>
        </w:rPr>
        <w:t>APROVO O PRESENTE TERMO DE REFERÊNCIA E AUTORIZO O ENCAMINHAMENTO PARA</w:t>
      </w:r>
      <w:r w:rsidR="00FE2531" w:rsidRPr="009C4579">
        <w:rPr>
          <w:rFonts w:ascii="Bookman Old Style" w:hAnsi="Bookman Old Style"/>
          <w:b/>
          <w:sz w:val="20"/>
          <w:szCs w:val="20"/>
        </w:rPr>
        <w:t xml:space="preserve"> </w:t>
      </w:r>
      <w:r w:rsidRPr="009C4579">
        <w:rPr>
          <w:rFonts w:ascii="Bookman Old Style" w:hAnsi="Bookman Old Style"/>
          <w:b/>
          <w:sz w:val="20"/>
          <w:szCs w:val="20"/>
        </w:rPr>
        <w:t>REALIZAÇÃO DA LICITAÇÃO E APROVAÇÃO DA AUTORIDADE SUPERIOR</w:t>
      </w:r>
      <w:r w:rsidR="00F50729">
        <w:rPr>
          <w:rFonts w:ascii="Bookman Old Style" w:hAnsi="Bookman Old Style"/>
          <w:b/>
          <w:sz w:val="20"/>
          <w:szCs w:val="20"/>
        </w:rPr>
        <w:t>:</w:t>
      </w:r>
    </w:p>
    <w:p w:rsidR="00F50729" w:rsidRDefault="00F50729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50729" w:rsidRPr="009C4579" w:rsidRDefault="00F50729" w:rsidP="009C457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FE2531" w:rsidRPr="009C4579" w:rsidRDefault="00FE2531" w:rsidP="009C4579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FE2531" w:rsidRPr="009C4579" w:rsidRDefault="00FE2531" w:rsidP="009C4579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__________________________</w:t>
      </w:r>
    </w:p>
    <w:p w:rsidR="00FE2531" w:rsidRPr="009C4579" w:rsidRDefault="00FE2531" w:rsidP="009C4579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>Julia Morais Paim</w:t>
      </w:r>
    </w:p>
    <w:p w:rsidR="005B2E87" w:rsidRPr="009C4579" w:rsidRDefault="00FE2531" w:rsidP="009C4579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C4579">
        <w:rPr>
          <w:rFonts w:ascii="Bookman Old Style" w:hAnsi="Bookman Old Style"/>
          <w:sz w:val="20"/>
          <w:szCs w:val="20"/>
        </w:rPr>
        <w:t xml:space="preserve">Secretária </w:t>
      </w:r>
      <w:r w:rsidR="0043168B" w:rsidRPr="009C4579">
        <w:rPr>
          <w:rFonts w:ascii="Bookman Old Style" w:hAnsi="Bookman Old Style"/>
          <w:sz w:val="20"/>
          <w:szCs w:val="20"/>
        </w:rPr>
        <w:t>Municipal de Agricultura</w:t>
      </w:r>
    </w:p>
    <w:sectPr w:rsidR="005B2E87" w:rsidRPr="009C4579" w:rsidSect="00F50729">
      <w:headerReference w:type="default" r:id="rId6"/>
      <w:pgSz w:w="11906" w:h="16838"/>
      <w:pgMar w:top="1316" w:right="1133" w:bottom="851" w:left="1701" w:header="53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D2F" w:rsidRDefault="00A37D2F" w:rsidP="003B69E8">
      <w:pPr>
        <w:spacing w:after="0" w:line="240" w:lineRule="auto"/>
      </w:pPr>
      <w:r>
        <w:separator/>
      </w:r>
    </w:p>
  </w:endnote>
  <w:endnote w:type="continuationSeparator" w:id="0">
    <w:p w:rsidR="00A37D2F" w:rsidRDefault="00A37D2F" w:rsidP="003B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D2F" w:rsidRDefault="00A37D2F" w:rsidP="003B69E8">
      <w:pPr>
        <w:spacing w:after="0" w:line="240" w:lineRule="auto"/>
      </w:pPr>
      <w:r>
        <w:separator/>
      </w:r>
    </w:p>
  </w:footnote>
  <w:footnote w:type="continuationSeparator" w:id="0">
    <w:p w:rsidR="00A37D2F" w:rsidRDefault="00A37D2F" w:rsidP="003B6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9E8" w:rsidRDefault="003B69E8" w:rsidP="009C4579">
    <w:pPr>
      <w:pStyle w:val="Cabee7alho"/>
      <w:spacing w:after="0" w:line="36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2C76C2F6" wp14:editId="632212C9">
          <wp:simplePos x="0" y="0"/>
          <wp:positionH relativeFrom="column">
            <wp:posOffset>59055</wp:posOffset>
          </wp:positionH>
          <wp:positionV relativeFrom="paragraph">
            <wp:posOffset>-41910</wp:posOffset>
          </wp:positionV>
          <wp:extent cx="841375" cy="791845"/>
          <wp:effectExtent l="0" t="0" r="0" b="8255"/>
          <wp:wrapSquare wrapText="bothSides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4"/>
        <w:szCs w:val="14"/>
      </w:rPr>
      <w:t>PREFEITURA MUNICIPAL DE SANTO ANTÔNIO DO SUDOESTE</w:t>
    </w:r>
  </w:p>
  <w:p w:rsidR="003B69E8" w:rsidRDefault="003B69E8" w:rsidP="009C4579">
    <w:pPr>
      <w:pStyle w:val="Cabee7alho"/>
      <w:spacing w:after="0" w:line="360" w:lineRule="auto"/>
      <w:jc w:val="center"/>
    </w:pPr>
    <w:r>
      <w:rPr>
        <w:rFonts w:ascii="Arial" w:hAnsi="Arial" w:cs="Arial"/>
        <w:b/>
        <w:sz w:val="14"/>
        <w:szCs w:val="14"/>
      </w:rPr>
      <w:t>SECRETARIA DA AGRICULTURA E DESENVOLVIMENTO RURAL SUSTENTÁVEL</w:t>
    </w:r>
  </w:p>
  <w:p w:rsidR="003B69E8" w:rsidRDefault="003B69E8" w:rsidP="009C4579">
    <w:pPr>
      <w:pStyle w:val="Cabee7alho"/>
      <w:spacing w:after="0" w:line="360" w:lineRule="auto"/>
      <w:jc w:val="center"/>
    </w:pPr>
    <w:r>
      <w:rPr>
        <w:rFonts w:ascii="Arial" w:hAnsi="Arial" w:cs="Arial"/>
        <w:sz w:val="14"/>
        <w:szCs w:val="14"/>
      </w:rPr>
      <w:t>DONA MARIQUINHA S/N - CENTRO</w:t>
    </w:r>
  </w:p>
  <w:p w:rsidR="003B69E8" w:rsidRDefault="003B69E8" w:rsidP="009C4579">
    <w:pPr>
      <w:pStyle w:val="Cabee7alho"/>
      <w:spacing w:after="0" w:line="360" w:lineRule="auto"/>
      <w:jc w:val="center"/>
    </w:pPr>
    <w:r>
      <w:rPr>
        <w:rFonts w:ascii="Arial" w:hAnsi="Arial" w:cs="Arial"/>
        <w:sz w:val="14"/>
        <w:szCs w:val="14"/>
      </w:rPr>
      <w:t>CEP: 85710-000 - SANTO ANTÔNIO DO SUDOESTE - PR</w:t>
    </w:r>
  </w:p>
  <w:p w:rsidR="003B69E8" w:rsidRDefault="003B69E8" w:rsidP="009C4579">
    <w:pPr>
      <w:pStyle w:val="Cabealho"/>
      <w:jc w:val="center"/>
      <w:rPr>
        <w:rFonts w:ascii="Arial" w:hAnsi="Arial" w:cs="Arial"/>
        <w:color w:val="0563C1"/>
        <w:sz w:val="14"/>
        <w:szCs w:val="14"/>
        <w:u w:val="single"/>
      </w:rPr>
    </w:pPr>
    <w:r>
      <w:rPr>
        <w:rFonts w:ascii="Arial" w:hAnsi="Arial" w:cs="Arial"/>
        <w:sz w:val="14"/>
        <w:szCs w:val="14"/>
      </w:rPr>
      <w:t xml:space="preserve">TELEFONE (046) 3563-8004 - E-mail: </w:t>
    </w:r>
    <w:hyperlink r:id="rId2" w:history="1">
      <w:r w:rsidR="009C4579" w:rsidRPr="00CD2BF9">
        <w:rPr>
          <w:rStyle w:val="Hyperlink"/>
          <w:rFonts w:ascii="Arial" w:hAnsi="Arial" w:cs="Arial"/>
          <w:sz w:val="14"/>
          <w:szCs w:val="14"/>
        </w:rPr>
        <w:t>agricultura@pmsas.pr.gov.br</w:t>
      </w:r>
    </w:hyperlink>
  </w:p>
  <w:p w:rsidR="009C4579" w:rsidRDefault="009C4579" w:rsidP="009C4579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8B"/>
    <w:rsid w:val="000171BB"/>
    <w:rsid w:val="00032731"/>
    <w:rsid w:val="00092EC0"/>
    <w:rsid w:val="000C2DC6"/>
    <w:rsid w:val="003B69E8"/>
    <w:rsid w:val="003E73A5"/>
    <w:rsid w:val="004255E5"/>
    <w:rsid w:val="0043168B"/>
    <w:rsid w:val="004449E3"/>
    <w:rsid w:val="00444FD4"/>
    <w:rsid w:val="005B2E87"/>
    <w:rsid w:val="005E6290"/>
    <w:rsid w:val="00684290"/>
    <w:rsid w:val="00766508"/>
    <w:rsid w:val="007F41AA"/>
    <w:rsid w:val="00877D43"/>
    <w:rsid w:val="00970D4D"/>
    <w:rsid w:val="009C4579"/>
    <w:rsid w:val="009D5CD8"/>
    <w:rsid w:val="00A37D2F"/>
    <w:rsid w:val="00A4443B"/>
    <w:rsid w:val="00A75FE7"/>
    <w:rsid w:val="00B40A9E"/>
    <w:rsid w:val="00B76FD9"/>
    <w:rsid w:val="00C3005B"/>
    <w:rsid w:val="00C91EAA"/>
    <w:rsid w:val="00CE3177"/>
    <w:rsid w:val="00DB6DA0"/>
    <w:rsid w:val="00EA4EC7"/>
    <w:rsid w:val="00EC1351"/>
    <w:rsid w:val="00EF08D6"/>
    <w:rsid w:val="00F13D01"/>
    <w:rsid w:val="00F447C1"/>
    <w:rsid w:val="00F5031F"/>
    <w:rsid w:val="00F50729"/>
    <w:rsid w:val="00F97B33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CA257B"/>
  <w15:docId w15:val="{FEA3918A-E71B-447E-84FD-3CE9A137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4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3B69E8"/>
  </w:style>
  <w:style w:type="paragraph" w:styleId="Rodap">
    <w:name w:val="footer"/>
    <w:basedOn w:val="Normal"/>
    <w:link w:val="RodapChar"/>
    <w:uiPriority w:val="99"/>
    <w:unhideWhenUsed/>
    <w:rsid w:val="003B69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69E8"/>
  </w:style>
  <w:style w:type="paragraph" w:customStyle="1" w:styleId="Cabee7alho">
    <w:name w:val="Cabeçe7alho"/>
    <w:basedOn w:val="Normal"/>
    <w:uiPriority w:val="99"/>
    <w:rsid w:val="003B69E8"/>
    <w:pPr>
      <w:tabs>
        <w:tab w:val="center" w:pos="4252"/>
        <w:tab w:val="right" w:pos="8504"/>
      </w:tabs>
      <w:autoSpaceDE w:val="0"/>
      <w:autoSpaceDN w:val="0"/>
      <w:adjustRightInd w:val="0"/>
      <w:spacing w:after="160" w:line="256" w:lineRule="auto"/>
    </w:pPr>
    <w:rPr>
      <w:rFonts w:ascii="Calibri" w:eastAsia="Times New Roman" w:hAnsi="Calibri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9C4579"/>
    <w:rPr>
      <w:color w:val="0000FF" w:themeColor="hyperlink"/>
      <w:u w:val="single"/>
    </w:rPr>
  </w:style>
  <w:style w:type="paragraph" w:styleId="PargrafodaLista">
    <w:name w:val="List Paragraph"/>
    <w:basedOn w:val="Normal"/>
    <w:link w:val="PargrafodaListaChar"/>
    <w:uiPriority w:val="1"/>
    <w:qFormat/>
    <w:rsid w:val="00F50729"/>
    <w:pPr>
      <w:spacing w:after="0" w:line="240" w:lineRule="auto"/>
      <w:ind w:left="720"/>
      <w:contextualSpacing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F50729"/>
    <w:rPr>
      <w:rFonts w:ascii="Ecofont_Spranq_eco_Sans" w:eastAsiaTheme="minorEastAsia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gricultura@pmsas.pr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3212</Words>
  <Characters>17351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PMSAS</dc:creator>
  <cp:lastModifiedBy>LICITACA-04</cp:lastModifiedBy>
  <cp:revision>5</cp:revision>
  <cp:lastPrinted>2024-03-04T13:39:00Z</cp:lastPrinted>
  <dcterms:created xsi:type="dcterms:W3CDTF">2024-03-04T14:50:00Z</dcterms:created>
  <dcterms:modified xsi:type="dcterms:W3CDTF">2024-04-24T14:48:00Z</dcterms:modified>
</cp:coreProperties>
</file>