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93" w:rsidRPr="00C17148" w:rsidRDefault="002C0A93" w:rsidP="002C0A93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C17148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2C0A93" w:rsidRPr="00C17148" w:rsidRDefault="002C0A93" w:rsidP="002C0A93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2C0A93" w:rsidRPr="00C17148" w:rsidRDefault="002C0A93" w:rsidP="002C0A93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2C0A93" w:rsidRPr="00C17148" w:rsidRDefault="002C0A93" w:rsidP="002C0A93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2C0A93" w:rsidRPr="00C17148" w:rsidRDefault="002C0A93" w:rsidP="002C0A93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2C0A93" w:rsidRPr="00C17148" w:rsidRDefault="002C0A93" w:rsidP="002C0A93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C17148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:rsidR="002C0A93" w:rsidRPr="00C17148" w:rsidRDefault="002C0A93" w:rsidP="002C0A93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2C0A93" w:rsidRPr="00C17148" w:rsidRDefault="002C0A93" w:rsidP="002C0A93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2C0A93" w:rsidRPr="00C17148" w:rsidRDefault="002C0A93" w:rsidP="002C0A93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 xml:space="preserve">1. DEFINIÇÃO DO OBJETO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2C0A93" w:rsidRPr="00602DC3" w:rsidRDefault="002C0A93" w:rsidP="002C0A93">
      <w:pPr>
        <w:ind w:firstLine="708"/>
        <w:jc w:val="both"/>
        <w:rPr>
          <w:rFonts w:ascii="Bookman Old Style" w:hAnsi="Bookman Old Style" w:cs="Arial"/>
          <w:iCs/>
          <w:sz w:val="20"/>
          <w:szCs w:val="20"/>
        </w:rPr>
      </w:pPr>
      <w:r w:rsidRPr="002C0A93">
        <w:rPr>
          <w:rFonts w:ascii="Bookman Old Style" w:hAnsi="Bookman Old Style" w:cs="Bookman Old Style"/>
          <w:bCs/>
          <w:sz w:val="20"/>
          <w:szCs w:val="20"/>
        </w:rPr>
        <w:t>Aquisição de fórmulas infantis, adultos e idosos para atender as necessidades da Secretaria Municipal de Saúde e Secretaria Municipal de Educação e Secretaria de Assistência Social</w:t>
      </w:r>
      <w:r w:rsidRPr="00C17148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717"/>
        <w:gridCol w:w="4379"/>
        <w:gridCol w:w="993"/>
        <w:gridCol w:w="992"/>
        <w:gridCol w:w="992"/>
        <w:gridCol w:w="1091"/>
      </w:tblGrid>
      <w:tr w:rsidR="002C0A93" w:rsidRPr="00843B41" w:rsidTr="00666A17">
        <w:tc>
          <w:tcPr>
            <w:tcW w:w="9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Lote: 1 - Lote 001</w:t>
            </w:r>
          </w:p>
        </w:tc>
      </w:tr>
      <w:tr w:rsidR="002C0A93" w:rsidRPr="00843B41" w:rsidTr="002C0A9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Preço máximo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val="x-none" w:eastAsia="en-US"/>
              </w:rPr>
              <w:t>Preço máximo total</w:t>
            </w:r>
          </w:p>
        </w:tc>
      </w:tr>
      <w:tr w:rsidR="002C0A93" w:rsidRPr="00843B41" w:rsidTr="002C0A9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CF047D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24361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ALIMENTO EM PÓ, PARA NUTRIÇÃO ORAL E/OU ENTERAL, INDICADO PARA IDOSOS, ADULTOS E CRIANÇAS A PARTIR DOS 10 ANOS DE IDADE, </w:t>
            </w:r>
            <w:proofErr w:type="spellStart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á</w:t>
            </w:r>
            <w:proofErr w:type="spellEnd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base de proteína de soja. </w:t>
            </w:r>
            <w:proofErr w:type="spellStart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Normocalórico</w:t>
            </w:r>
            <w:proofErr w:type="spellEnd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na diluição padrão, com adequado teor proteico e lipídico. SEM LACTOSE E GLÚTEN. Possui 1,0KCAL/ML, Proteínas (proteína isolada de soja e </w:t>
            </w:r>
            <w:proofErr w:type="spellStart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caseinato</w:t>
            </w:r>
            <w:proofErr w:type="spellEnd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de cálcio), carboidratos (100% </w:t>
            </w:r>
            <w:proofErr w:type="spellStart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maltodextrina</w:t>
            </w:r>
            <w:proofErr w:type="spellEnd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) e lipídeos (óleo vegetais).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65,00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7.800,00</w:t>
            </w:r>
          </w:p>
        </w:tc>
      </w:tr>
      <w:tr w:rsidR="002C0A93" w:rsidRPr="00843B41" w:rsidTr="002C0A9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CF047D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24362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DIETA ENTERAL, CETOGÊNICA, pó, contendo 4 gramas de gordura para cada 1 grama de Carboidrato. Fórmula INDICADA PARA CRIANÇAS COM EPILEPSIA REFRATÁRIA a medicamentos e outras condições que requerem terapia nutricional com dieta, </w:t>
            </w:r>
            <w:proofErr w:type="spellStart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cetogênica</w:t>
            </w:r>
            <w:proofErr w:type="spellEnd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, como deficiência do complexo </w:t>
            </w:r>
            <w:proofErr w:type="spellStart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piruvato</w:t>
            </w:r>
            <w:proofErr w:type="spellEnd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desidrogenase</w:t>
            </w:r>
            <w:proofErr w:type="spellEnd"/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, Embalagem: lata de até 300g.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190,00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11.400,00</w:t>
            </w:r>
          </w:p>
        </w:tc>
      </w:tr>
      <w:tr w:rsidR="002C0A93" w:rsidRPr="00843B41" w:rsidTr="002C0A9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A0544B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24363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FÓRMULA EM PÓ PARA DIETAS COM RESTRIÇÃO DE FENILALANINA: Alimento em pó para dietas com restrição de fenilalanina, para pacientes de 1 a 8 anos de idade, adicionado em tirosina, vitaminas e minerais. Não contém glúten. Sabor: Sem Sabor. Lata de 500g.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360,00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12.960,00</w:t>
            </w:r>
          </w:p>
        </w:tc>
      </w:tr>
      <w:tr w:rsidR="002C0A93" w:rsidRPr="00843B41" w:rsidTr="002C0A9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 w:rsidRPr="00843B41"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A0544B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24364</w:t>
            </w:r>
            <w:bookmarkStart w:id="1" w:name="_GoBack"/>
            <w:bookmarkEnd w:id="1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2C0A93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FÓRMULA EM PÓ PARA DIETAS COM RESTRIÇÃO DE FENILALANINA: Alimento em pó para dietas com restrição de fenilalanina, para pacientes ACIMA DE  8 anos de idade, adicionado em tirosina, vitaminas e minerais. Não contém glúten. Sabor: Sem Sabor. Lata de 500g.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360,00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man Old Style" w:hAnsi="Bookman Old Style" w:cs="Arial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en-US"/>
              </w:rPr>
              <w:t>12.960,00</w:t>
            </w:r>
          </w:p>
        </w:tc>
      </w:tr>
      <w:tr w:rsidR="002C0A93" w:rsidRPr="00843B41" w:rsidTr="00666A17">
        <w:trPr>
          <w:trHeight w:val="225"/>
        </w:trPr>
        <w:tc>
          <w:tcPr>
            <w:tcW w:w="863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 w:rsidRPr="00843B41"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A93" w:rsidRPr="00843B41" w:rsidRDefault="002C0A93" w:rsidP="00666A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  <w:t>45.120,00</w:t>
            </w:r>
          </w:p>
        </w:tc>
      </w:tr>
    </w:tbl>
    <w:p w:rsidR="002C0A93" w:rsidRPr="00843B41" w:rsidRDefault="002C0A93" w:rsidP="002C0A93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p w:rsidR="002C0A93" w:rsidRPr="008C26A9" w:rsidRDefault="002C0A93" w:rsidP="002C0A93">
      <w:pPr>
        <w:pStyle w:val="PargrafodaLista"/>
        <w:ind w:left="0" w:firstLine="708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 xml:space="preserve">Assim, valor estimado da contratação conforme documento de pesquisa de preços </w:t>
      </w:r>
      <w:r w:rsidRPr="008C26A9">
        <w:rPr>
          <w:rFonts w:ascii="Bookman Old Style" w:hAnsi="Bookman Old Style" w:cs="Arial"/>
          <w:color w:val="000000" w:themeColor="text1"/>
          <w:sz w:val="20"/>
          <w:szCs w:val="20"/>
        </w:rPr>
        <w:t xml:space="preserve">é de </w:t>
      </w:r>
      <w:r>
        <w:rPr>
          <w:rFonts w:ascii="Bookman Old Style" w:hAnsi="Bookman Old Style" w:cs="Arial"/>
          <w:b/>
          <w:color w:val="000000" w:themeColor="text1"/>
          <w:sz w:val="20"/>
          <w:szCs w:val="20"/>
        </w:rPr>
        <w:t>R$ 45.120,00</w:t>
      </w:r>
      <w:r w:rsidRPr="008C26A9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(</w:t>
      </w:r>
      <w:r w:rsidRPr="002C0A93">
        <w:rPr>
          <w:rFonts w:ascii="Bookman Old Style" w:hAnsi="Bookman Old Style" w:cs="Arial"/>
          <w:b/>
          <w:color w:val="000000" w:themeColor="text1"/>
          <w:sz w:val="20"/>
          <w:szCs w:val="20"/>
        </w:rPr>
        <w:t>Quarenta e Cinco Mil e Cento e Vinte Reais</w:t>
      </w:r>
      <w:r w:rsidRPr="008C26A9">
        <w:rPr>
          <w:rFonts w:ascii="Bookman Old Style" w:hAnsi="Bookman Old Style" w:cs="Arial"/>
          <w:b/>
          <w:color w:val="000000" w:themeColor="text1"/>
          <w:sz w:val="20"/>
          <w:szCs w:val="20"/>
        </w:rPr>
        <w:t>).</w:t>
      </w:r>
    </w:p>
    <w:p w:rsidR="002C0A93" w:rsidRPr="00C17148" w:rsidRDefault="002C0A93" w:rsidP="002C0A93">
      <w:pPr>
        <w:pStyle w:val="PargrafodaLista"/>
        <w:ind w:left="0" w:firstLine="708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p w:rsidR="002C0A93" w:rsidRPr="00C17148" w:rsidRDefault="002C0A93" w:rsidP="002C0A93">
      <w:pPr>
        <w:pStyle w:val="PargrafodaLista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2C0A93" w:rsidRPr="00C17148" w:rsidRDefault="002C0A93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2C0A93" w:rsidRPr="00C17148" w:rsidRDefault="002C0A93" w:rsidP="002C0A93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2C0A93" w:rsidRDefault="002C0A93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2C0A93" w:rsidRPr="00F97223" w:rsidRDefault="002C0A93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2C0A93" w:rsidRPr="002C0A93" w:rsidRDefault="002C0A93" w:rsidP="002C0A93">
      <w:pPr>
        <w:pStyle w:val="Nivel01"/>
        <w:keepNext w:val="0"/>
        <w:keepLines w:val="0"/>
        <w:widowControl w:val="0"/>
        <w:numPr>
          <w:ilvl w:val="0"/>
          <w:numId w:val="2"/>
        </w:numPr>
        <w:tabs>
          <w:tab w:val="clear" w:pos="567"/>
          <w:tab w:val="left" w:pos="0"/>
        </w:tabs>
        <w:spacing w:before="0"/>
        <w:ind w:left="0" w:hanging="24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 xml:space="preserve">FUNDAMENTAÇÃO DA CONTRATAÇÃO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  <w:r w:rsidRPr="002C0A93">
        <w:rPr>
          <w:rFonts w:ascii="Bookman Old Style" w:hAnsi="Bookman Old Style"/>
          <w:bCs w:val="0"/>
          <w:lang w:eastAsia="en-US"/>
        </w:rPr>
        <w:br/>
      </w:r>
      <w:r w:rsidRPr="002C0A93">
        <w:rPr>
          <w:rFonts w:ascii="Bookman Old Style" w:hAnsi="Bookman Old Style"/>
          <w:b w:val="0"/>
          <w:bCs w:val="0"/>
          <w:lang w:eastAsia="en-US"/>
        </w:rPr>
        <w:t xml:space="preserve"> </w:t>
      </w:r>
      <w:r w:rsidRPr="002C0A93">
        <w:rPr>
          <w:rFonts w:ascii="Bookman Old Style" w:hAnsi="Bookman Old Style"/>
          <w:b w:val="0"/>
          <w:bCs w:val="0"/>
          <w:lang w:eastAsia="en-US"/>
        </w:rPr>
        <w:tab/>
        <w:t xml:space="preserve">A aquisição de fórmulas infantis, para adultos e idosos é uma necessidade vital para a </w:t>
      </w:r>
      <w:r w:rsidRPr="002C0A93">
        <w:rPr>
          <w:rFonts w:ascii="Bookman Old Style" w:hAnsi="Bookman Old Style"/>
          <w:b w:val="0"/>
          <w:bCs w:val="0"/>
          <w:lang w:eastAsia="en-US"/>
        </w:rPr>
        <w:lastRenderedPageBreak/>
        <w:t>operação eficaz da Secretaria Municipal de Saúde, Secretaria Municipal de Educação e Secretaria de Assistência Social. Esses insumos desempenham um papel fundamental na promoção da saúde e nutrição adequada, atendendo especialmente aqueles que enfrentam restrições alimentares ou condições de saúde específicas que exigem cuidados nutricionais especializados. Sua ausência poderia comprometer gravemente o bem-estar e a saúde das populações atendidas por essas instituições, especialmente aqueles em situação de vulnerabilidade social.</w:t>
      </w:r>
      <w:r>
        <w:rPr>
          <w:rFonts w:ascii="Bookman Old Style" w:hAnsi="Bookman Old Style"/>
          <w:bCs w:val="0"/>
          <w:lang w:eastAsia="en-US"/>
        </w:rPr>
        <w:t xml:space="preserve"> </w:t>
      </w:r>
      <w:r w:rsidRPr="002C0A93">
        <w:rPr>
          <w:rFonts w:ascii="Bookman Old Style" w:hAnsi="Bookman Old Style"/>
          <w:b w:val="0"/>
          <w:bCs w:val="0"/>
          <w:lang w:eastAsia="en-US"/>
        </w:rPr>
        <w:t>Além disso, a aquisição dessas fórmulas está alinhada com as políticas de saúde pública e assistência social, que buscam garantir o acesso equitativo a serviços de saúde e nutrição para todos os cidadãos. A disponibilidade desses insumos é crucial para assegurar que crianças em idade escolar, adultos e idosos recebam o suporte nutricional necessário para seu desenvolvimento e b</w:t>
      </w:r>
      <w:r>
        <w:rPr>
          <w:rFonts w:ascii="Bookman Old Style" w:hAnsi="Bookman Old Style"/>
          <w:b w:val="0"/>
          <w:bCs w:val="0"/>
          <w:lang w:eastAsia="en-US"/>
        </w:rPr>
        <w:t xml:space="preserve">em-estar. Portanto, a </w:t>
      </w:r>
      <w:r w:rsidRPr="002C0A93">
        <w:rPr>
          <w:rFonts w:ascii="Bookman Old Style" w:hAnsi="Bookman Old Style"/>
          <w:b w:val="0"/>
          <w:bCs w:val="0"/>
          <w:lang w:eastAsia="en-US"/>
        </w:rPr>
        <w:t>aquisição desses produtos é essencial para garantir a continuidade e eficácia dos serviços prestados pelas secretarias municipais.</w:t>
      </w:r>
    </w:p>
    <w:p w:rsidR="002C0A93" w:rsidRPr="00843B41" w:rsidRDefault="002C0A93" w:rsidP="002C0A93">
      <w:pPr>
        <w:pStyle w:val="Nivel01"/>
        <w:keepNext w:val="0"/>
        <w:keepLines w:val="0"/>
        <w:widowControl w:val="0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Bookman Old Style" w:hAnsi="Bookman Old Style"/>
          <w:bCs w:val="0"/>
          <w:lang w:eastAsia="en-US"/>
        </w:rPr>
      </w:pPr>
      <w:r w:rsidRPr="002C0A93">
        <w:rPr>
          <w:rFonts w:ascii="Bookman Old Style" w:hAnsi="Bookman Old Style"/>
          <w:b w:val="0"/>
          <w:bCs w:val="0"/>
          <w:lang w:eastAsia="en-US"/>
        </w:rPr>
        <w:t>Por fim, a centralização da aquisição desses insumos permite uma gestão mais eficiente dos recursos públicos, promovendo economia de escala e garantindo o fornecimento regular e de qualidade das fórmulas necessárias. Isso contribui para otimizar os processos administrativos e garantir que as demandas de saúde e assistência social sejam atendidas de maneira eficaz e su</w:t>
      </w:r>
      <w:r>
        <w:rPr>
          <w:rFonts w:ascii="Bookman Old Style" w:hAnsi="Bookman Old Style"/>
          <w:b w:val="0"/>
          <w:bCs w:val="0"/>
          <w:lang w:eastAsia="en-US"/>
        </w:rPr>
        <w:t xml:space="preserve">stentável. Assim, a </w:t>
      </w:r>
      <w:r w:rsidRPr="002C0A93">
        <w:rPr>
          <w:rFonts w:ascii="Bookman Old Style" w:hAnsi="Bookman Old Style"/>
          <w:b w:val="0"/>
          <w:bCs w:val="0"/>
          <w:lang w:eastAsia="en-US"/>
        </w:rPr>
        <w:t>aquisição é uma medida estratégica para fortalecer o sistema de saúde pública e promover o bem-estar da comunidade atendida.</w:t>
      </w:r>
    </w:p>
    <w:p w:rsidR="002C0A93" w:rsidRPr="00C17148" w:rsidRDefault="002C0A93" w:rsidP="002C0A93">
      <w:pPr>
        <w:rPr>
          <w:rFonts w:ascii="Bookman Old Style" w:hAnsi="Bookman Old Style"/>
          <w:sz w:val="20"/>
          <w:szCs w:val="20"/>
          <w:lang w:val="pt-PT"/>
        </w:rPr>
      </w:pPr>
    </w:p>
    <w:p w:rsidR="002C0A93" w:rsidRPr="00C17148" w:rsidRDefault="002C0A93" w:rsidP="002C0A93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>3. DESCRIÇÃO DA SOLUÇÃO COMO UM TODO CONSIDERADO O CICLO DE VIDA DO OBJETO E ESPECIFICAÇÃO DO PRODUTO.</w:t>
      </w:r>
      <w:r w:rsidRPr="00C17148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2C0A93" w:rsidRPr="00C17148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 xml:space="preserve"> </w:t>
      </w:r>
    </w:p>
    <w:p w:rsidR="002C0A93" w:rsidRPr="002C0A93" w:rsidRDefault="002C0A93" w:rsidP="002C0A9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2C0A93">
        <w:rPr>
          <w:rFonts w:ascii="Bookman Old Style" w:hAnsi="Bookman Old Style"/>
          <w:sz w:val="20"/>
          <w:szCs w:val="20"/>
        </w:rPr>
        <w:t>Em relação às especificações dos produtos, serão considerados diversos aspectos, como composição nutricional, qualidade, segurança e adequação às necessidades específicas de cada faixa etária e condição de saúde. Serão priorizadas fórmulas que atendam aos padrões e regulamentações estabelecidas pelos órgãos competentes, garantindo a eficácia e segurança do produto para consumo humano.</w:t>
      </w:r>
    </w:p>
    <w:p w:rsidR="002C0A93" w:rsidRPr="002C0A93" w:rsidRDefault="002C0A93" w:rsidP="002C0A9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2C0A93">
        <w:rPr>
          <w:rFonts w:ascii="Bookman Old Style" w:hAnsi="Bookman Old Style"/>
          <w:sz w:val="20"/>
          <w:szCs w:val="20"/>
        </w:rPr>
        <w:t>Além disso, a solução inclui a definição de critérios de seleção de fornecedores, levando em conta não apenas o aspecto econômico, mas também a capacidade de fornecimento, histórico de qualidade dos produtos e conformidade com normas e regulamentos vigentes. Dessa forma, busca-se garantir a obtenção de produtos de alta qualidade, com custo-benefício adequado e fornecimento regular e confiável ao longo do contrato.</w:t>
      </w:r>
    </w:p>
    <w:p w:rsidR="002C0A93" w:rsidRPr="00C17148" w:rsidRDefault="002C0A93" w:rsidP="002C0A9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2C0A93">
        <w:rPr>
          <w:rFonts w:ascii="Bookman Old Style" w:hAnsi="Bookman Old Style"/>
          <w:sz w:val="20"/>
          <w:szCs w:val="20"/>
        </w:rPr>
        <w:t>A solução também prevê a implementação de mecanismos de monitoramento e avaliação da qualidade das fórmulas adquiridas, bem como do processo de fornecimento e distribuição, visando garantir a conformidade com os padrões estabelecidos e a satisfação das demandas das secretarias envolvidas. Através de um acompanhamento sistemático, será possível identificar eventuais problemas e implementar ações corretivas de forma ágil e eficiente, assegurando a continuidade e eficácia dos serviços prestados.</w:t>
      </w:r>
    </w:p>
    <w:p w:rsidR="002C0A93" w:rsidRPr="00C17148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2C0A93" w:rsidRPr="00C17148" w:rsidRDefault="002C0A93" w:rsidP="002C0A93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C17148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2C0A93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ab/>
      </w:r>
    </w:p>
    <w:p w:rsidR="002C0A93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2C0A93">
        <w:rPr>
          <w:rFonts w:ascii="Bookman Old Style" w:hAnsi="Bookman Old Style"/>
          <w:sz w:val="20"/>
          <w:szCs w:val="20"/>
        </w:rPr>
        <w:t>As fórmulas devem atender aos mais altos padrões de qualidade, garantindo a segurança alimentar e nutricional dos beneficiários. Devem ser produzidas de acordo com normas técnicas e regulamentações sanitárias vigentes, assegurando a eficácia e a adequação nutricional para cada faixa etária e condição de saúde.</w:t>
      </w:r>
    </w:p>
    <w:p w:rsidR="002C0A93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2C0A93">
        <w:rPr>
          <w:rFonts w:ascii="Bookman Old Style" w:hAnsi="Bookman Old Style"/>
          <w:sz w:val="20"/>
          <w:szCs w:val="20"/>
        </w:rPr>
        <w:t>Os produtos fornecidos devem estar em conformidade com as especificações técnicas estabelecidas no Termo de Referência, incluindo composição nutricional, embalagem adequada e validade mínima exigida.</w:t>
      </w:r>
    </w:p>
    <w:p w:rsidR="002C0A93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2C0A93">
        <w:rPr>
          <w:rFonts w:ascii="Bookman Old Style" w:hAnsi="Bookman Old Style"/>
          <w:sz w:val="20"/>
          <w:szCs w:val="20"/>
        </w:rPr>
        <w:t>O fornecedor deve ser capaz de garantir o abastecimento regular das fórmulas, de acordo com a demanda estabelecida pelas Secretarias Municipais de Saúde, Educação e Assistência Social. Qualquer interrupção no fornecimento deve ser comunicada e resolvida de forma rápida e eficiente.</w:t>
      </w:r>
    </w:p>
    <w:p w:rsidR="002C0A93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2C0A93">
        <w:rPr>
          <w:rFonts w:ascii="Bookman Old Style" w:hAnsi="Bookman Old Style"/>
          <w:sz w:val="20"/>
          <w:szCs w:val="20"/>
        </w:rPr>
        <w:t>O valor dos produtos deve ser compatível com o mercado, garantindo um custo-benefício satisfatório para a administração pública. O processo de contratação deve garantir a obtenção das melhores condições comerciais, sem comprometer a qualidade dos produtos.</w:t>
      </w:r>
    </w:p>
    <w:p w:rsidR="002C0A93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2C0A93">
        <w:rPr>
          <w:rFonts w:ascii="Bookman Old Style" w:hAnsi="Bookman Old Style"/>
          <w:sz w:val="20"/>
          <w:szCs w:val="20"/>
        </w:rPr>
        <w:lastRenderedPageBreak/>
        <w:t>Será valorizada a experiência e a credibilidade do fornecedor no mercado, incluindo histórico de fornecimento de produtos similares para órgãos públicos ou entidades privadas, bem como sua reputação no cumprimento de contratos e na prestação de serviços.</w:t>
      </w:r>
    </w:p>
    <w:p w:rsidR="002C0A93" w:rsidRPr="00C17148" w:rsidRDefault="002C0A93" w:rsidP="002C0A93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2C0A93">
        <w:rPr>
          <w:rFonts w:ascii="Bookman Old Style" w:hAnsi="Bookman Old Style"/>
          <w:sz w:val="20"/>
          <w:szCs w:val="20"/>
        </w:rPr>
        <w:t>Esses requisitos garantem que a contratação atenda às necessidades das secretarias envolvidas, assegurando a qualidade, regularidade e eficácia do fornecimento das fórmulas infantis, para adultos e idosos.</w:t>
      </w:r>
    </w:p>
    <w:p w:rsidR="002C0A93" w:rsidRPr="00C17148" w:rsidRDefault="002C0A93" w:rsidP="002C0A93">
      <w:pPr>
        <w:jc w:val="both"/>
        <w:rPr>
          <w:rFonts w:ascii="Bookman Old Style" w:hAnsi="Bookman Old Style"/>
          <w:sz w:val="20"/>
          <w:szCs w:val="20"/>
        </w:rPr>
      </w:pPr>
    </w:p>
    <w:p w:rsidR="002C0A93" w:rsidRPr="00C17148" w:rsidRDefault="002C0A93" w:rsidP="002C0A93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2C0A93" w:rsidRPr="00C17148" w:rsidRDefault="002C0A93" w:rsidP="002C0A93">
      <w:pPr>
        <w:rPr>
          <w:rFonts w:ascii="Bookman Old Style" w:hAnsi="Bookman Old Style"/>
          <w:sz w:val="20"/>
          <w:szCs w:val="20"/>
          <w:lang w:eastAsia="en-US"/>
        </w:rPr>
      </w:pPr>
    </w:p>
    <w:p w:rsidR="002C0A93" w:rsidRPr="002C0A93" w:rsidRDefault="002C0A93" w:rsidP="002C0A93">
      <w:pPr>
        <w:rPr>
          <w:rFonts w:ascii="Bookman Old Style" w:hAnsi="Bookman Old Style"/>
          <w:sz w:val="20"/>
          <w:szCs w:val="20"/>
          <w:lang w:eastAsia="en-US"/>
        </w:rPr>
      </w:pPr>
      <w:r w:rsidRPr="00C17148">
        <w:rPr>
          <w:rFonts w:ascii="Bookman Old Style" w:hAnsi="Bookman Old Style"/>
          <w:sz w:val="20"/>
          <w:szCs w:val="20"/>
          <w:lang w:eastAsia="en-US"/>
        </w:rPr>
        <w:tab/>
      </w:r>
      <w:r w:rsidRPr="002C0A93">
        <w:rPr>
          <w:rFonts w:ascii="Bookman Old Style" w:hAnsi="Bookman Old Style"/>
          <w:sz w:val="20"/>
          <w:szCs w:val="20"/>
          <w:lang w:eastAsia="en-US"/>
        </w:rPr>
        <w:t>O modelo de execução do objeto consiste na definição clara e detalhada de como o contrato de aquisição de fórmulas infantis, para adultos e idosos produzirá os resultados pretendidos desde o seu início até o seu encerramento. Esse modelo compreende as seguintes etapas:</w:t>
      </w:r>
    </w:p>
    <w:p w:rsidR="002C0A93" w:rsidRPr="002C0A93" w:rsidRDefault="002C0A93" w:rsidP="002C0A93">
      <w:pPr>
        <w:numPr>
          <w:ilvl w:val="0"/>
          <w:numId w:val="5"/>
        </w:numPr>
        <w:rPr>
          <w:rFonts w:ascii="Bookman Old Style" w:hAnsi="Bookman Old Style"/>
          <w:sz w:val="20"/>
          <w:szCs w:val="20"/>
          <w:lang w:eastAsia="en-US"/>
        </w:rPr>
      </w:pPr>
      <w:r w:rsidRPr="002C0A93">
        <w:rPr>
          <w:rFonts w:ascii="Bookman Old Style" w:hAnsi="Bookman Old Style"/>
          <w:b/>
          <w:bCs/>
          <w:sz w:val="20"/>
          <w:szCs w:val="20"/>
          <w:lang w:eastAsia="en-US"/>
        </w:rPr>
        <w:t>Planejamento e Preparação</w:t>
      </w:r>
      <w:r w:rsidRPr="002C0A93">
        <w:rPr>
          <w:rFonts w:ascii="Bookman Old Style" w:hAnsi="Bookman Old Style"/>
          <w:sz w:val="20"/>
          <w:szCs w:val="20"/>
          <w:lang w:eastAsia="en-US"/>
        </w:rPr>
        <w:t>: Nesta fase inicial, serão realizadas reuniões entre as secretarias contratantes e a equipe responsável pela contratação para elaborar o Termo de Referência, definindo as necessidades específicas de cada secretaria, os requisitos dos produtos, os critérios de seleção de fornecedores e os procedimentos para a execução do contrato.</w:t>
      </w:r>
    </w:p>
    <w:p w:rsidR="002C0A93" w:rsidRPr="002C0A93" w:rsidRDefault="002C0A93" w:rsidP="002C0A93">
      <w:pPr>
        <w:numPr>
          <w:ilvl w:val="0"/>
          <w:numId w:val="5"/>
        </w:numPr>
        <w:rPr>
          <w:rFonts w:ascii="Bookman Old Style" w:hAnsi="Bookman Old Style"/>
          <w:sz w:val="20"/>
          <w:szCs w:val="20"/>
          <w:lang w:eastAsia="en-US"/>
        </w:rPr>
      </w:pPr>
      <w:r w:rsidRPr="002C0A93">
        <w:rPr>
          <w:rFonts w:ascii="Bookman Old Style" w:hAnsi="Bookman Old Style"/>
          <w:b/>
          <w:bCs/>
          <w:sz w:val="20"/>
          <w:szCs w:val="20"/>
          <w:lang w:eastAsia="en-US"/>
        </w:rPr>
        <w:t>Fornecimento e Recebimento dos Produtos</w:t>
      </w:r>
      <w:r w:rsidRPr="002C0A93">
        <w:rPr>
          <w:rFonts w:ascii="Bookman Old Style" w:hAnsi="Bookman Old Style"/>
          <w:sz w:val="20"/>
          <w:szCs w:val="20"/>
          <w:lang w:eastAsia="en-US"/>
        </w:rPr>
        <w:t>: O fornecedor iniciará o fornecimento das fórmulas de acordo com o cronograma estabelecido no contrato. As secretarias contratantes serão responsáveis por receber e conferir os produtos entregues, garantindo que estejam em conformidade com as especificações técnicas e a quantidade solicitada.</w:t>
      </w:r>
    </w:p>
    <w:p w:rsidR="002C0A93" w:rsidRPr="002C0A93" w:rsidRDefault="002C0A93" w:rsidP="002C0A93">
      <w:pPr>
        <w:numPr>
          <w:ilvl w:val="0"/>
          <w:numId w:val="5"/>
        </w:numPr>
        <w:rPr>
          <w:rFonts w:ascii="Bookman Old Style" w:hAnsi="Bookman Old Style"/>
          <w:sz w:val="20"/>
          <w:szCs w:val="20"/>
          <w:lang w:eastAsia="en-US"/>
        </w:rPr>
      </w:pPr>
      <w:r w:rsidRPr="002C0A93">
        <w:rPr>
          <w:rFonts w:ascii="Bookman Old Style" w:hAnsi="Bookman Old Style"/>
          <w:b/>
          <w:bCs/>
          <w:sz w:val="20"/>
          <w:szCs w:val="20"/>
          <w:lang w:eastAsia="en-US"/>
        </w:rPr>
        <w:t>Monitoramento e Controle da Execução do Contrato</w:t>
      </w:r>
      <w:r w:rsidRPr="002C0A93">
        <w:rPr>
          <w:rFonts w:ascii="Bookman Old Style" w:hAnsi="Bookman Old Style"/>
          <w:sz w:val="20"/>
          <w:szCs w:val="20"/>
          <w:lang w:eastAsia="en-US"/>
        </w:rPr>
        <w:t>: Durante toda a vigência do contrato, será realizado o monitoramento constante do fornecimento das fórmulas, avaliando a qualidade dos produtos, o cumprimento dos prazos de entrega e o atendimento às demandas das secretarias contratantes. Qualquer desvio ou problema identificado será prontamente comunicado ao fornecedor para adoção das medidas corretivas necessárias.</w:t>
      </w:r>
    </w:p>
    <w:p w:rsidR="002C0A93" w:rsidRPr="002C0A93" w:rsidRDefault="002C0A93" w:rsidP="002C0A93">
      <w:pPr>
        <w:numPr>
          <w:ilvl w:val="0"/>
          <w:numId w:val="5"/>
        </w:numPr>
        <w:rPr>
          <w:rFonts w:ascii="Bookman Old Style" w:hAnsi="Bookman Old Style"/>
          <w:sz w:val="20"/>
          <w:szCs w:val="20"/>
          <w:lang w:eastAsia="en-US"/>
        </w:rPr>
      </w:pPr>
      <w:r w:rsidRPr="002C0A93">
        <w:rPr>
          <w:rFonts w:ascii="Bookman Old Style" w:hAnsi="Bookman Old Style"/>
          <w:b/>
          <w:bCs/>
          <w:sz w:val="20"/>
          <w:szCs w:val="20"/>
          <w:lang w:eastAsia="en-US"/>
        </w:rPr>
        <w:t>Avaliação e Encerramento do Contrato</w:t>
      </w:r>
      <w:r w:rsidRPr="002C0A93">
        <w:rPr>
          <w:rFonts w:ascii="Bookman Old Style" w:hAnsi="Bookman Old Style"/>
          <w:sz w:val="20"/>
          <w:szCs w:val="20"/>
          <w:lang w:eastAsia="en-US"/>
        </w:rPr>
        <w:t>: Ao final do período contratual, será realizada uma avaliação global do contrato, considerando o desempenho do fornecedor, a qualidade dos produtos fornecidos e a satisfação das secretarias contratantes. Caso necessário, serão realizadas negociações para renovação do contrato ou abertura de novo processo de contratação, conforme as necessidades identificadas.</w:t>
      </w:r>
    </w:p>
    <w:p w:rsidR="002C0A93" w:rsidRPr="00C17148" w:rsidRDefault="002C0A93" w:rsidP="002C0A93">
      <w:pPr>
        <w:rPr>
          <w:rFonts w:ascii="Bookman Old Style" w:hAnsi="Bookman Old Style"/>
          <w:sz w:val="20"/>
          <w:szCs w:val="20"/>
          <w:lang w:eastAsia="en-US"/>
        </w:rPr>
      </w:pPr>
      <w:r w:rsidRPr="002C0A93">
        <w:rPr>
          <w:rFonts w:ascii="Bookman Old Style" w:hAnsi="Bookman Old Style"/>
          <w:sz w:val="20"/>
          <w:szCs w:val="20"/>
          <w:lang w:eastAsia="en-US"/>
        </w:rPr>
        <w:t>Por meio desse modelo de execução do objeto, busca-se garantir a eficácia e o sucesso do contrato de aquisição de fórmulas infantis, para adultos e idosos, desde o seu início até o seu encerramento, assegurando o cumprimento dos objetivos estabelecidos e a satisfação das partes envolvidas.</w:t>
      </w:r>
    </w:p>
    <w:p w:rsidR="002C0A93" w:rsidRPr="00C17148" w:rsidRDefault="002C0A93" w:rsidP="002C0A93">
      <w:pPr>
        <w:jc w:val="both"/>
        <w:rPr>
          <w:rFonts w:ascii="Bookman Old Style" w:hAnsi="Bookman Old Style"/>
          <w:sz w:val="20"/>
          <w:szCs w:val="20"/>
          <w:lang w:eastAsia="en-US"/>
        </w:rPr>
      </w:pPr>
    </w:p>
    <w:p w:rsidR="002C0A93" w:rsidRPr="00C17148" w:rsidRDefault="002C0A93" w:rsidP="002C0A93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>DAS OBRIGAÇÕES</w:t>
      </w:r>
    </w:p>
    <w:p w:rsidR="002C0A93" w:rsidRDefault="002C0A93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EB30CF" w:rsidRDefault="00EB30CF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>A contratada deve fornecer as fórmulas conforme as especificações técnicas e quantidades estipuladas no contrato, garantindo o abastecimento regular e pontual de acordo com o cronograma estabelecido.</w:t>
      </w:r>
    </w:p>
    <w:p w:rsidR="00EB30CF" w:rsidRDefault="00EB30CF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>A contratada é responsável por fornecer fórmulas de alta qualidade, que atendam aos padrões estabelecidos no Termo de Referência, garantindo a segurança alimentar e nutricional dos beneficiários.</w:t>
      </w:r>
    </w:p>
    <w:p w:rsidR="00EB30CF" w:rsidRDefault="00EB30CF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>A contratada deve garantir que as fórmulas fornecidas estejam em conformidade com as especificações técnicas estabelecidas no contrato, incluindo composição nutricional, embalagem adequada e validade mínima exigida.</w:t>
      </w:r>
    </w:p>
    <w:p w:rsidR="00EB30CF" w:rsidRDefault="00EB30CF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>A contratada deve estar disponível para atender às demandas das secretarias contratantes, respondendo prontamente a dúvidas, solicitações de informações e eventuais reclamações relacionadas aos produtos fornecidos.</w:t>
      </w:r>
    </w:p>
    <w:p w:rsidR="00EB30CF" w:rsidRDefault="00EB30CF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>A contratada deve manter um estoque adequado das fórmulas, garantindo a disponibilidade imediata dos produtos para entrega conforme demanda das secretarias contratantes.</w:t>
      </w:r>
    </w:p>
    <w:p w:rsidR="00EB30CF" w:rsidRDefault="00EB30CF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>A contratada deve cumprir todas as obrigações estabelecidas no contrato, incluindo prazos de entrega, condições de pagamento, garantias e demais cláusulas contratuais.</w:t>
      </w:r>
    </w:p>
    <w:p w:rsidR="00EB30CF" w:rsidRDefault="00EB30CF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lastRenderedPageBreak/>
        <w:t>A contratada deve manter uma comunicação eficiente com as secretarias contratantes, informando sobre eventuais atrasos, problemas de qualidade ou qualquer outra questão relevante relacionada ao fornecimento das fórmulas.</w:t>
      </w:r>
    </w:p>
    <w:p w:rsidR="002C0A93" w:rsidRPr="00C17148" w:rsidRDefault="002C0A93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2C0A93" w:rsidRPr="00C17148" w:rsidRDefault="002C0A93" w:rsidP="002C0A93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C17148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EB30CF" w:rsidRPr="00EB30CF" w:rsidRDefault="00EB30CF" w:rsidP="00EB30C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 xml:space="preserve">O prazo de entrega das fórmulas será estabelecido no contrato, levando em consideração a quantidade </w:t>
      </w:r>
      <w:r>
        <w:rPr>
          <w:rFonts w:ascii="Bookman Old Style" w:hAnsi="Bookman Old Style"/>
          <w:sz w:val="20"/>
          <w:szCs w:val="20"/>
        </w:rPr>
        <w:t>demandada</w:t>
      </w:r>
      <w:r w:rsidRPr="00EB30CF">
        <w:rPr>
          <w:rFonts w:ascii="Bookman Old Style" w:hAnsi="Bookman Old Style"/>
          <w:sz w:val="20"/>
          <w:szCs w:val="20"/>
        </w:rPr>
        <w:t xml:space="preserve"> e a urgência das necessidades das secretarias contratantes. Serão definidos prazos específicos para cada entrega, garantindo o abastecimento regular e contínuo das fórmulas ao longo da vigência do contrato.</w:t>
      </w:r>
    </w:p>
    <w:p w:rsidR="00EB30CF" w:rsidRPr="00EB30CF" w:rsidRDefault="00EB30CF" w:rsidP="00EB30C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 xml:space="preserve">A forma de entrega das fórmulas será acordada </w:t>
      </w:r>
      <w:r>
        <w:rPr>
          <w:rFonts w:ascii="Bookman Old Style" w:hAnsi="Bookman Old Style"/>
          <w:sz w:val="20"/>
          <w:szCs w:val="20"/>
        </w:rPr>
        <w:t>entre as partes, incluindo</w:t>
      </w:r>
      <w:r w:rsidRPr="00EB30CF">
        <w:rPr>
          <w:rFonts w:ascii="Bookman Old Style" w:hAnsi="Bookman Old Style"/>
          <w:sz w:val="20"/>
          <w:szCs w:val="20"/>
        </w:rPr>
        <w:t xml:space="preserve"> o transporte direto pela contratada até os locais determinados pelas secretarias cont</w:t>
      </w:r>
      <w:r>
        <w:rPr>
          <w:rFonts w:ascii="Bookman Old Style" w:hAnsi="Bookman Old Style"/>
          <w:sz w:val="20"/>
          <w:szCs w:val="20"/>
        </w:rPr>
        <w:t>ratantes</w:t>
      </w:r>
      <w:r w:rsidRPr="00EB30CF">
        <w:rPr>
          <w:rFonts w:ascii="Bookman Old Style" w:hAnsi="Bookman Old Style"/>
          <w:sz w:val="20"/>
          <w:szCs w:val="20"/>
        </w:rPr>
        <w:t>. As fórmulas devem ser entregues de forma segura e em embalagens adequadas para garantir a integridade dos produtos durante o transporte.</w:t>
      </w:r>
    </w:p>
    <w:p w:rsidR="00EB30CF" w:rsidRPr="00EB30CF" w:rsidRDefault="00EB30CF" w:rsidP="00EB30C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>O local de entrega das fó</w:t>
      </w:r>
      <w:r>
        <w:rPr>
          <w:rFonts w:ascii="Bookman Old Style" w:hAnsi="Bookman Old Style"/>
          <w:sz w:val="20"/>
          <w:szCs w:val="20"/>
        </w:rPr>
        <w:t>rmulas será definido com o fiscal do contrato</w:t>
      </w:r>
      <w:r w:rsidRPr="00EB30CF">
        <w:rPr>
          <w:rFonts w:ascii="Bookman Old Style" w:hAnsi="Bookman Old Style"/>
          <w:sz w:val="20"/>
          <w:szCs w:val="20"/>
        </w:rPr>
        <w:t>, considerando as necessidades de cada secretaria contratante. Podem ser estabelecidos diferentes locais de entrega, como unidades de saúde, escolas, centros de assistência social ou depósitos design</w:t>
      </w:r>
      <w:r>
        <w:rPr>
          <w:rFonts w:ascii="Bookman Old Style" w:hAnsi="Bookman Old Style"/>
          <w:sz w:val="20"/>
          <w:szCs w:val="20"/>
        </w:rPr>
        <w:t>ados pelas secretarias</w:t>
      </w:r>
      <w:r w:rsidRPr="00EB30CF">
        <w:rPr>
          <w:rFonts w:ascii="Bookman Old Style" w:hAnsi="Bookman Old Style"/>
          <w:sz w:val="20"/>
          <w:szCs w:val="20"/>
        </w:rPr>
        <w:t>.</w:t>
      </w:r>
    </w:p>
    <w:p w:rsidR="002C0A93" w:rsidRPr="00C17148" w:rsidRDefault="00EB30CF" w:rsidP="00EB30C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B30CF">
        <w:rPr>
          <w:rFonts w:ascii="Bookman Old Style" w:hAnsi="Bookman Old Style"/>
          <w:sz w:val="20"/>
          <w:szCs w:val="20"/>
        </w:rPr>
        <w:t>É importante que a contratada cumpra rigorosamente os prazos e condições de entrega estabelecidos no contrato, garantindo a disponibilidade das fórmulas nos locais e momentos necessários para atender às demandas das secretarias contratantes e assegurar a continuidade dos serviços prestados à população. Qualquer alteração nos prazos, forma ou local de entrega deverá ser previamente comunicada e acordada entre as partes, de forma a evitar qualquer impacto negativo no fornecimento das fórmulas e no atendimento às necessidades das secretarias contratantes.</w:t>
      </w:r>
    </w:p>
    <w:p w:rsidR="002C0A93" w:rsidRPr="00C17148" w:rsidRDefault="002C0A93" w:rsidP="002C0A93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2C0A93" w:rsidRPr="00C17148" w:rsidRDefault="002C0A93" w:rsidP="002C0A93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C17148">
        <w:rPr>
          <w:rFonts w:ascii="Bookman Old Style" w:hAnsi="Bookman Old Style"/>
        </w:rPr>
        <w:t>MODELO DE GESTÃO DO CONTRATO, QUE DESCREVE COMO A EXECUÇÃO DO OBJETO SERÁ ACOMPANHADA E FISCALIZADA PELO ÓRGÃO OU ENTIDADE.</w:t>
      </w:r>
      <w:r w:rsidRPr="00C17148">
        <w:rPr>
          <w:rFonts w:ascii="Bookman Old Style" w:hAnsi="Bookman Old Style"/>
          <w:b w:val="0"/>
        </w:rPr>
        <w:t xml:space="preserve">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C17148">
        <w:rPr>
          <w:rFonts w:ascii="Bookman Old Style" w:hAnsi="Bookman Old Style" w:cs="Cambria"/>
          <w:color w:val="auto"/>
        </w:rPr>
        <w:t>is</w:t>
      </w:r>
      <w:proofErr w:type="spellEnd"/>
      <w:r w:rsidRPr="00C17148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lastRenderedPageBreak/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C17148">
        <w:rPr>
          <w:rFonts w:ascii="Bookman Old Style" w:hAnsi="Bookman Old Style" w:cs="Cambria"/>
          <w:color w:val="auto"/>
        </w:rPr>
        <w:t>apostilamento</w:t>
      </w:r>
      <w:proofErr w:type="spellEnd"/>
      <w:r w:rsidRPr="00C17148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2C0A93" w:rsidRPr="00C17148" w:rsidRDefault="002C0A93" w:rsidP="002C0A93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2C0A93" w:rsidRPr="00C17148" w:rsidRDefault="002C0A93" w:rsidP="002C0A93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2C0A93" w:rsidRPr="00C17148" w:rsidRDefault="002C0A93" w:rsidP="002C0A93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FISCAL: </w:t>
      </w:r>
      <w:r w:rsidR="00EB30CF">
        <w:rPr>
          <w:rFonts w:ascii="Bookman Old Style" w:hAnsi="Bookman Old Style"/>
          <w:b/>
          <w:sz w:val="20"/>
          <w:szCs w:val="20"/>
        </w:rPr>
        <w:t>DARIELI BREMBATTI</w:t>
      </w:r>
    </w:p>
    <w:p w:rsidR="002C0A93" w:rsidRDefault="002C0A93" w:rsidP="002C0A93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GESTOR: CAMILA REGINA RODRIGUES </w:t>
      </w:r>
    </w:p>
    <w:p w:rsidR="002C0A93" w:rsidRPr="00F97223" w:rsidRDefault="002C0A93" w:rsidP="002C0A93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:rsidR="002C0A93" w:rsidRPr="00C17148" w:rsidRDefault="002C0A93" w:rsidP="002C0A93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C17148">
        <w:rPr>
          <w:rFonts w:ascii="Bookman Old Style" w:hAnsi="Bookman Old Style"/>
        </w:rPr>
        <w:t>CRITÉRIOS DE MEDIÇÃO E DE PAGAMENTO</w:t>
      </w:r>
      <w:r w:rsidRPr="00C17148">
        <w:rPr>
          <w:rFonts w:ascii="Bookman Old Style" w:hAnsi="Bookman Old Style"/>
          <w:b w:val="0"/>
        </w:rPr>
        <w:t xml:space="preserve"> </w:t>
      </w:r>
      <w:r w:rsidRPr="00C17148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2C0A93" w:rsidRPr="00C17148" w:rsidRDefault="002C0A93" w:rsidP="002C0A93">
      <w:pPr>
        <w:widowControl w:val="0"/>
        <w:suppressAutoHyphens/>
        <w:contextualSpacing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</w:p>
    <w:p w:rsidR="002C0A93" w:rsidRPr="00C17148" w:rsidRDefault="002C0A93" w:rsidP="002C0A93">
      <w:pPr>
        <w:pStyle w:val="PargrafodaLista"/>
        <w:widowControl w:val="0"/>
        <w:numPr>
          <w:ilvl w:val="1"/>
          <w:numId w:val="4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  <w:szCs w:val="20"/>
        </w:rPr>
      </w:pPr>
      <w:r w:rsidRPr="00C17148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2C0A93" w:rsidRPr="00C17148" w:rsidRDefault="002C0A93" w:rsidP="002C0A93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C17148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2C0A93" w:rsidRPr="00C17148" w:rsidRDefault="002C0A93" w:rsidP="002C0A93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2C0A93" w:rsidRPr="00C17148" w:rsidRDefault="002C0A93" w:rsidP="002C0A93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2C0A93" w:rsidRPr="00C17148" w:rsidRDefault="002C0A93" w:rsidP="002C0A93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2C0A93" w:rsidRPr="00C17148" w:rsidRDefault="002C0A93" w:rsidP="002C0A93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C17148">
        <w:rPr>
          <w:rFonts w:ascii="Bookman Old Style" w:hAnsi="Bookman Old Style" w:cs="Cambria"/>
          <w:sz w:val="20"/>
          <w:szCs w:val="20"/>
          <w:lang w:eastAsia="en-US"/>
        </w:rPr>
        <w:lastRenderedPageBreak/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2C0A93" w:rsidRPr="00C17148" w:rsidRDefault="002C0A93" w:rsidP="002C0A93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2C0A93" w:rsidRPr="00C17148" w:rsidRDefault="002C0A93" w:rsidP="002C0A93">
      <w:pPr>
        <w:pStyle w:val="Nivel2"/>
        <w:numPr>
          <w:ilvl w:val="0"/>
          <w:numId w:val="4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C17148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C17148">
        <w:rPr>
          <w:rFonts w:ascii="Bookman Old Style" w:hAnsi="Bookman Old Style"/>
          <w:bCs/>
          <w:color w:val="auto"/>
          <w:lang w:eastAsia="en-US"/>
        </w:rPr>
        <w:t>(</w:t>
      </w:r>
      <w:r w:rsidRPr="00C17148">
        <w:rPr>
          <w:rFonts w:ascii="Bookman Old Style" w:hAnsi="Bookman Old Style"/>
          <w:b/>
          <w:bCs/>
          <w:color w:val="auto"/>
          <w:lang w:eastAsia="en-US"/>
        </w:rPr>
        <w:t>Art. 6º, inciso XXIII, alínea ‘h’, da Lei nº 14.133/2021).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b/>
          <w:color w:val="auto"/>
          <w:lang w:eastAsia="en-US"/>
        </w:rPr>
      </w:pPr>
    </w:p>
    <w:p w:rsidR="002C0A93" w:rsidRPr="00623453" w:rsidRDefault="002C0A93" w:rsidP="002C0A93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C17148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</w:t>
      </w:r>
      <w:r w:rsidRPr="00C17148">
        <w:rPr>
          <w:rFonts w:ascii="Bookman Old Style" w:hAnsi="Bookman Old Style"/>
          <w:b/>
          <w:color w:val="auto"/>
        </w:rPr>
        <w:t>DISPENSA</w:t>
      </w:r>
      <w:r w:rsidRPr="00C17148">
        <w:rPr>
          <w:rFonts w:ascii="Bookman Old Style" w:hAnsi="Bookman Old Style"/>
          <w:color w:val="auto"/>
        </w:rPr>
        <w:t xml:space="preserve"> foi considerada a modalidade técnica e economicamente viável que possibilita a aquisição dos itens descritos neste termo. </w:t>
      </w:r>
    </w:p>
    <w:p w:rsidR="002C0A93" w:rsidRPr="009A0586" w:rsidRDefault="002C0A93" w:rsidP="002C0A93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C1714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C1714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MENOR PREÇO POR ITEM </w:t>
      </w:r>
      <w:r w:rsidRPr="00C1714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na modalidade de </w:t>
      </w:r>
      <w:r w:rsidRPr="00C1714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 da Lei 14.133/2021.</w:t>
      </w:r>
    </w:p>
    <w:p w:rsidR="002C0A93" w:rsidRPr="00C17148" w:rsidRDefault="002C0A93" w:rsidP="002C0A93">
      <w:pPr>
        <w:pStyle w:val="PargrafodaLista"/>
        <w:ind w:left="22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2C0A93" w:rsidRPr="00C17148" w:rsidRDefault="002C0A93" w:rsidP="002C0A93">
      <w:pPr>
        <w:pStyle w:val="PargrafodaLista"/>
        <w:numPr>
          <w:ilvl w:val="0"/>
          <w:numId w:val="4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C17148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C17148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C17148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p w:rsidR="002C0A93" w:rsidRPr="00C17148" w:rsidRDefault="002C0A93" w:rsidP="002C0A93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ab/>
        <w:t>Os valores es</w:t>
      </w:r>
      <w:r w:rsidR="00EB30CF">
        <w:rPr>
          <w:rFonts w:ascii="Bookman Old Style" w:hAnsi="Bookman Old Style"/>
          <w:sz w:val="20"/>
          <w:szCs w:val="20"/>
        </w:rPr>
        <w:t>timados foram obtidos através de</w:t>
      </w:r>
      <w:r w:rsidRPr="00C17148">
        <w:rPr>
          <w:rFonts w:ascii="Bookman Old Style" w:hAnsi="Bookman Old Style"/>
          <w:sz w:val="20"/>
          <w:szCs w:val="20"/>
        </w:rPr>
        <w:t xml:space="preserve"> </w:t>
      </w:r>
      <w:r w:rsidR="00EB30CF">
        <w:rPr>
          <w:rFonts w:ascii="Bookman Old Style" w:hAnsi="Bookman Old Style"/>
          <w:sz w:val="20"/>
          <w:szCs w:val="20"/>
        </w:rPr>
        <w:t>pesquisa on-line</w:t>
      </w:r>
      <w:r w:rsidRPr="00C17148">
        <w:rPr>
          <w:rFonts w:ascii="Bookman Old Style" w:hAnsi="Bookman Old Style"/>
          <w:sz w:val="20"/>
          <w:szCs w:val="20"/>
        </w:rPr>
        <w:t xml:space="preserve">, sendo que o valor médio total da aquisição, no importe </w:t>
      </w:r>
      <w:r w:rsidRPr="008C26A9">
        <w:rPr>
          <w:rFonts w:ascii="Bookman Old Style" w:hAnsi="Bookman Old Style"/>
          <w:color w:val="000000" w:themeColor="text1"/>
          <w:sz w:val="20"/>
          <w:szCs w:val="20"/>
        </w:rPr>
        <w:t xml:space="preserve">de </w:t>
      </w:r>
      <w:r w:rsidRPr="008C26A9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R$ </w:t>
      </w:r>
      <w:r w:rsidR="00EB30CF" w:rsidRPr="00EB30CF">
        <w:rPr>
          <w:rFonts w:ascii="Bookman Old Style" w:hAnsi="Bookman Old Style" w:cs="Arial"/>
          <w:b/>
          <w:color w:val="000000" w:themeColor="text1"/>
          <w:sz w:val="20"/>
          <w:szCs w:val="20"/>
        </w:rPr>
        <w:t>45.120,00 (Quarenta e Cinco Mil e Cento e Vinte Reais</w:t>
      </w:r>
      <w:r w:rsidR="00EB30CF">
        <w:rPr>
          <w:rFonts w:ascii="Bookman Old Style" w:hAnsi="Bookman Old Style" w:cs="Arial"/>
          <w:b/>
          <w:color w:val="000000" w:themeColor="text1"/>
          <w:sz w:val="20"/>
          <w:szCs w:val="20"/>
        </w:rPr>
        <w:t>)</w:t>
      </w:r>
      <w:r w:rsidRPr="008C26A9">
        <w:rPr>
          <w:rFonts w:ascii="Bookman Old Style" w:hAnsi="Bookman Old Style" w:cs="Arial"/>
          <w:b/>
          <w:color w:val="000000" w:themeColor="text1"/>
          <w:sz w:val="20"/>
          <w:szCs w:val="20"/>
        </w:rPr>
        <w:t>,</w:t>
      </w:r>
      <w:r w:rsidRPr="008C26A9">
        <w:rPr>
          <w:rFonts w:ascii="Bookman Old Style" w:hAnsi="Bookman Old Style"/>
          <w:color w:val="000000" w:themeColor="text1"/>
          <w:sz w:val="20"/>
          <w:szCs w:val="20"/>
        </w:rPr>
        <w:t xml:space="preserve"> conforme a pesquisa </w:t>
      </w:r>
      <w:r w:rsidRPr="00C17148">
        <w:rPr>
          <w:rFonts w:ascii="Bookman Old Style" w:hAnsi="Bookman Old Style"/>
          <w:sz w:val="20"/>
          <w:szCs w:val="20"/>
        </w:rPr>
        <w:t>realizada.</w:t>
      </w:r>
    </w:p>
    <w:p w:rsidR="002C0A93" w:rsidRPr="00C17148" w:rsidRDefault="002C0A93" w:rsidP="002C0A93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17148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2C0A93" w:rsidRPr="00C17148" w:rsidRDefault="002C0A93" w:rsidP="002C0A93">
      <w:pPr>
        <w:pStyle w:val="PargrafodaLista"/>
        <w:ind w:left="22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2C0A93" w:rsidRPr="00C17148" w:rsidRDefault="002C0A93" w:rsidP="002C0A93">
      <w:pPr>
        <w:pStyle w:val="PargrafodaLista"/>
        <w:numPr>
          <w:ilvl w:val="0"/>
          <w:numId w:val="4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C17148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C17148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C17148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:rsidR="002C0A93" w:rsidRPr="00C17148" w:rsidRDefault="002C0A93" w:rsidP="002C0A93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C17148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2C0A93" w:rsidRDefault="002C0A93" w:rsidP="002C0A93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p w:rsidR="002C0A93" w:rsidRPr="00C17148" w:rsidRDefault="002C0A93" w:rsidP="002C0A93">
      <w:pPr>
        <w:pStyle w:val="PargrafodaLista"/>
        <w:ind w:left="0"/>
        <w:jc w:val="both"/>
        <w:rPr>
          <w:rFonts w:ascii="Bookman Old Style" w:hAnsi="Bookman Old Style" w:cs="Arial"/>
          <w:b/>
          <w:iCs/>
          <w:sz w:val="20"/>
          <w:szCs w:val="20"/>
        </w:rPr>
      </w:pPr>
    </w:p>
    <w:bookmarkEnd w:id="0"/>
    <w:p w:rsidR="002C0A93" w:rsidRDefault="00EB30CF" w:rsidP="002C0A93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>
        <w:rPr>
          <w:rFonts w:ascii="Bookman Old Style" w:hAnsi="Bookman Old Style"/>
          <w:iCs/>
          <w:color w:val="auto"/>
        </w:rPr>
        <w:t>Santo Antonio do Sudoeste, 18</w:t>
      </w:r>
      <w:r w:rsidR="002C0A93" w:rsidRPr="00C17148">
        <w:rPr>
          <w:rFonts w:ascii="Bookman Old Style" w:hAnsi="Bookman Old Style"/>
          <w:iCs/>
          <w:color w:val="auto"/>
        </w:rPr>
        <w:t xml:space="preserve"> de março de 2024.</w:t>
      </w:r>
    </w:p>
    <w:p w:rsidR="002C0A93" w:rsidRDefault="002C0A93" w:rsidP="002C0A93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2C0A93" w:rsidRDefault="002C0A93" w:rsidP="002C0A93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2C0A93" w:rsidRPr="00C17148" w:rsidRDefault="002C0A93" w:rsidP="002C0A93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2C0A93" w:rsidRPr="00C17148" w:rsidRDefault="002C0A93" w:rsidP="002C0A93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C17148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2C0A93" w:rsidRPr="00C17148" w:rsidRDefault="002C0A93" w:rsidP="002C0A93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C17148">
        <w:rPr>
          <w:rFonts w:ascii="Bookman Old Style" w:eastAsia="Arial" w:hAnsi="Bookman Old Style" w:cs="Arial"/>
          <w:sz w:val="20"/>
          <w:szCs w:val="20"/>
        </w:rPr>
        <w:t>CAMILA REGINA RODRIGUES</w:t>
      </w:r>
    </w:p>
    <w:p w:rsidR="002C0A93" w:rsidRPr="00DF330A" w:rsidRDefault="002C0A93" w:rsidP="002C0A93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C17148">
        <w:rPr>
          <w:rFonts w:ascii="Bookman Old Style" w:eastAsia="Arial" w:hAnsi="Bookman Old Style" w:cs="Arial"/>
          <w:sz w:val="20"/>
          <w:szCs w:val="20"/>
        </w:rPr>
        <w:t>Secretária Municipal de Saúde</w:t>
      </w:r>
    </w:p>
    <w:p w:rsidR="006B0418" w:rsidRDefault="006B0418"/>
    <w:sectPr w:rsidR="006B0418" w:rsidSect="00C17148">
      <w:headerReference w:type="default" r:id="rId5"/>
      <w:footerReference w:type="default" r:id="rId6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A0544B">
    <w:pPr>
      <w:pStyle w:val="Rodap"/>
    </w:pPr>
  </w:p>
  <w:p w:rsidR="00F7357E" w:rsidRDefault="00A0544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A0544B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56F1B36B" wp14:editId="117CF76D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A0544B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A0544B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 xml:space="preserve">Avenida </w:t>
    </w:r>
    <w:r>
      <w:rPr>
        <w:rFonts w:ascii="Bookman Old Style" w:hAnsi="Bookman Old Style"/>
        <w:w w:val="105"/>
        <w:sz w:val="16"/>
      </w:rPr>
      <w:t>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A0544B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A0544B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A0544B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51990"/>
    <w:multiLevelType w:val="multilevel"/>
    <w:tmpl w:val="9CFE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7404DE"/>
    <w:multiLevelType w:val="multilevel"/>
    <w:tmpl w:val="3238E9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93"/>
    <w:rsid w:val="002C0A93"/>
    <w:rsid w:val="006B0418"/>
    <w:rsid w:val="00A0544B"/>
    <w:rsid w:val="00CF047D"/>
    <w:rsid w:val="00D82845"/>
    <w:rsid w:val="00E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3908-F90F-4013-B81A-78743BA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A93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C0A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0A93"/>
    <w:pPr>
      <w:ind w:left="720"/>
      <w:contextualSpacing/>
    </w:pPr>
  </w:style>
  <w:style w:type="character" w:styleId="Hyperlink">
    <w:name w:val="Hyperlink"/>
    <w:uiPriority w:val="99"/>
    <w:rsid w:val="002C0A93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2C0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A93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C0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C0A93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C0A93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2C0A93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2C0A93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2C0A9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2C0A9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2C0A93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2C0A93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C0A93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2C0A93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C0A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0A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3271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2024-03-25T16:36:00Z</dcterms:created>
  <dcterms:modified xsi:type="dcterms:W3CDTF">2024-03-25T17:11:00Z</dcterms:modified>
</cp:coreProperties>
</file>