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CE" w:rsidRPr="00C17148" w:rsidRDefault="002174CE" w:rsidP="002174CE">
      <w:pPr>
        <w:jc w:val="center"/>
        <w:rPr>
          <w:rFonts w:ascii="Bookman Old Style" w:hAnsi="Bookman Old Style" w:cs="Arial"/>
          <w:b/>
          <w:sz w:val="20"/>
          <w:szCs w:val="20"/>
        </w:rPr>
      </w:pPr>
      <w:bookmarkStart w:id="0" w:name="_Hlk82471863"/>
      <w:r w:rsidRPr="00C17148">
        <w:rPr>
          <w:rFonts w:ascii="Bookman Old Style" w:hAnsi="Bookman Old Style" w:cs="Arial"/>
          <w:b/>
          <w:sz w:val="20"/>
          <w:szCs w:val="20"/>
        </w:rPr>
        <w:t xml:space="preserve">TERMO DE REFERÊNCIA </w:t>
      </w:r>
    </w:p>
    <w:p w:rsidR="002174CE" w:rsidRPr="00C17148" w:rsidRDefault="002174CE" w:rsidP="002174CE">
      <w:pPr>
        <w:jc w:val="both"/>
        <w:rPr>
          <w:rFonts w:ascii="Bookman Old Style" w:hAnsi="Bookman Old Style" w:cs="Arial"/>
          <w:b/>
          <w:sz w:val="20"/>
          <w:szCs w:val="20"/>
        </w:rPr>
      </w:pPr>
      <w:bookmarkStart w:id="1" w:name="_GoBack"/>
      <w:bookmarkEnd w:id="1"/>
    </w:p>
    <w:p w:rsidR="002174CE" w:rsidRPr="00C17148" w:rsidRDefault="002174CE" w:rsidP="002174C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17148">
        <w:rPr>
          <w:rFonts w:ascii="Bookman Old Style" w:hAnsi="Bookman Old Style" w:cs="Arial"/>
          <w:b/>
          <w:sz w:val="20"/>
          <w:szCs w:val="20"/>
        </w:rPr>
        <w:t>INTRODUÇÃO</w:t>
      </w:r>
    </w:p>
    <w:p w:rsidR="002174CE" w:rsidRPr="00C17148" w:rsidRDefault="002174CE" w:rsidP="002174C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2174CE" w:rsidRPr="00C17148" w:rsidRDefault="002174CE" w:rsidP="002174CE">
      <w:pPr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C17148">
        <w:rPr>
          <w:rFonts w:ascii="Bookman Old Style" w:hAnsi="Bookman Old Style" w:cs="Arial"/>
          <w:sz w:val="20"/>
          <w:szCs w:val="20"/>
        </w:rPr>
        <w:t>Conforme a Lei nº 14.133, de 2021, o Termo de Referência é o documento necessário para a contratação de bens que deve conter determinados parâmetros e elementos descritivos.</w:t>
      </w:r>
    </w:p>
    <w:p w:rsidR="002174CE" w:rsidRPr="00C17148" w:rsidRDefault="002174CE" w:rsidP="002174CE">
      <w:pPr>
        <w:ind w:firstLine="708"/>
        <w:jc w:val="both"/>
        <w:rPr>
          <w:rFonts w:ascii="Bookman Old Style" w:hAnsi="Bookman Old Style" w:cs="Arial"/>
          <w:b/>
          <w:sz w:val="20"/>
          <w:szCs w:val="20"/>
        </w:rPr>
      </w:pPr>
      <w:r w:rsidRPr="00C17148">
        <w:rPr>
          <w:rFonts w:ascii="Bookman Old Style" w:hAnsi="Bookman Old Style" w:cs="Arial"/>
          <w:sz w:val="20"/>
          <w:szCs w:val="20"/>
        </w:rPr>
        <w:t xml:space="preserve"> Tal exigência se torna explicita no </w:t>
      </w:r>
      <w:r w:rsidRPr="00C17148">
        <w:rPr>
          <w:rFonts w:ascii="Bookman Old Style" w:hAnsi="Bookman Old Style" w:cs="Arial"/>
          <w:b/>
          <w:sz w:val="20"/>
          <w:szCs w:val="20"/>
        </w:rPr>
        <w:t>Art. 6º, inciso XXIII, alíneas de ‘a’ a ‘j’.</w:t>
      </w:r>
    </w:p>
    <w:p w:rsidR="002174CE" w:rsidRPr="00C17148" w:rsidRDefault="002174CE" w:rsidP="002174CE">
      <w:pPr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C17148">
        <w:rPr>
          <w:rFonts w:ascii="Bookman Old Style" w:hAnsi="Bookman Old Style" w:cs="Arial"/>
          <w:sz w:val="20"/>
          <w:szCs w:val="20"/>
        </w:rPr>
        <w:t xml:space="preserve"> Em conformidade com as normas e princípios que regem a Administração Pública, para tanto apresentamos o pertinente Termo.</w:t>
      </w:r>
    </w:p>
    <w:p w:rsidR="002174CE" w:rsidRPr="00C17148" w:rsidRDefault="002174CE" w:rsidP="002174C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2174CE" w:rsidRPr="00C17148" w:rsidRDefault="002174CE" w:rsidP="002174CE">
      <w:pPr>
        <w:pStyle w:val="Nivel01"/>
        <w:numPr>
          <w:ilvl w:val="0"/>
          <w:numId w:val="0"/>
        </w:numPr>
        <w:tabs>
          <w:tab w:val="left" w:pos="87"/>
        </w:tabs>
        <w:spacing w:before="0"/>
        <w:rPr>
          <w:rFonts w:ascii="Bookman Old Style" w:hAnsi="Bookman Old Style"/>
          <w:bCs w:val="0"/>
          <w:lang w:eastAsia="en-US"/>
        </w:rPr>
      </w:pPr>
      <w:r w:rsidRPr="00C17148">
        <w:rPr>
          <w:rFonts w:ascii="Bookman Old Style" w:hAnsi="Bookman Old Style"/>
        </w:rPr>
        <w:t xml:space="preserve">1. DEFINIÇÃO DO OBJETO </w:t>
      </w:r>
      <w:r w:rsidRPr="00C17148">
        <w:rPr>
          <w:rFonts w:ascii="Bookman Old Style" w:hAnsi="Bookman Old Style"/>
          <w:bCs w:val="0"/>
          <w:lang w:eastAsia="en-US"/>
        </w:rPr>
        <w:t>(Art. 6º, inciso XXIII, alínea ‘a’, da Lei nº 14.133/2021).</w:t>
      </w:r>
    </w:p>
    <w:p w:rsidR="002174CE" w:rsidRPr="00C17148" w:rsidRDefault="002174CE" w:rsidP="002174CE">
      <w:pPr>
        <w:ind w:firstLine="708"/>
        <w:jc w:val="both"/>
        <w:rPr>
          <w:rFonts w:ascii="Bookman Old Style" w:hAnsi="Bookman Old Style" w:cs="Arial"/>
          <w:iCs/>
          <w:sz w:val="20"/>
          <w:szCs w:val="20"/>
        </w:rPr>
      </w:pPr>
      <w:r w:rsidRPr="00C17148">
        <w:rPr>
          <w:rFonts w:ascii="Bookman Old Style" w:hAnsi="Bookman Old Style" w:cs="Bookman Old Style"/>
          <w:bCs/>
          <w:sz w:val="20"/>
          <w:szCs w:val="20"/>
        </w:rPr>
        <w:t>Aquisição de medi</w:t>
      </w:r>
      <w:r w:rsidR="00116109" w:rsidRPr="00C17148">
        <w:rPr>
          <w:rFonts w:ascii="Bookman Old Style" w:hAnsi="Bookman Old Style" w:cs="Bookman Old Style"/>
          <w:bCs/>
          <w:sz w:val="20"/>
          <w:szCs w:val="20"/>
        </w:rPr>
        <w:t>camentos</w:t>
      </w:r>
      <w:r w:rsidRPr="00C17148">
        <w:rPr>
          <w:rFonts w:ascii="Bookman Old Style" w:hAnsi="Bookman Old Style" w:cs="Bookman Old Style"/>
          <w:bCs/>
          <w:sz w:val="20"/>
          <w:szCs w:val="20"/>
        </w:rPr>
        <w:t xml:space="preserve"> em virtude da Epidemia de Dengue conforme Decreto Municipal nº 4.103/2024, conforme quantidades, especificações, exigências estabelecidas neste documento.</w:t>
      </w:r>
    </w:p>
    <w:p w:rsidR="002174CE" w:rsidRPr="00C17148" w:rsidRDefault="002174CE" w:rsidP="002174CE">
      <w:pPr>
        <w:pStyle w:val="PargrafodaLista"/>
        <w:ind w:left="0"/>
        <w:jc w:val="both"/>
        <w:rPr>
          <w:rFonts w:ascii="Bookman Old Style" w:hAnsi="Bookman Old Style" w:cs="Arial"/>
          <w:b/>
          <w:i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"/>
        <w:gridCol w:w="717"/>
        <w:gridCol w:w="3870"/>
        <w:gridCol w:w="1004"/>
        <w:gridCol w:w="1003"/>
        <w:gridCol w:w="1290"/>
        <w:gridCol w:w="1280"/>
      </w:tblGrid>
      <w:tr w:rsidR="00C17148" w:rsidRPr="00AA08E0" w:rsidTr="00DB105C">
        <w:tc>
          <w:tcPr>
            <w:tcW w:w="96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AE0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Lote: 1 - Lote 001</w:t>
            </w:r>
          </w:p>
        </w:tc>
      </w:tr>
      <w:tr w:rsidR="00C17148" w:rsidRPr="00AA08E0" w:rsidTr="00092D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Item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Código do produto/serviço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Nome do produto/serviço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Preço máximo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4CE" w:rsidRPr="00AA08E0" w:rsidRDefault="002174CE" w:rsidP="00092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val="x-none" w:eastAsia="en-US"/>
              </w:rPr>
              <w:t>Preço máximo total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24308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COMPLEXO B (BR0274567) INJETÁVEL, AMPOLA 2 ML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2.500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AMP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1,19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2.975,00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24309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COMPLEXO B, COMPOSIÇÃO BÁSICA B1, B2, B3, B5, B6, B12 (BR0437109)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COMP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0,15</w:t>
            </w:r>
            <w:r w:rsidR="00002935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4.608,00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METOCLOPRAMIDA CLORIDRATO DOSAGEM 10 MG (BR0267312)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COMP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10.000,00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METOCLOPRAMIDA CLORIDRATO, DOSAGEM  5 MG/ ML, APRESENTAÇÃO: SOLUÇÃO INJETÁVEL (BR0267310)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AMP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0,78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3.900,00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BROMOPRIDA (BR0269958) IIV/IM 5 MG/ML, FORMA FARMACÊUTICA SOLUÇÃO INJETÁVEL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AMP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2,57</w:t>
            </w:r>
            <w:r w:rsidR="00002935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3.861,00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DIPIRONA MONOIDRATADA 1 G SOLUÇÃO INJETÁVEL 2 ML IM/IV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AMP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0,98</w:t>
            </w:r>
            <w:r w:rsidR="00002935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4.925,00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Sais para Reidratação Oral (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Nacl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3,5 g + Glicose 20 g +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Citrato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Na 2,9 g +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Kcl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1,5 g), 27,9 G, PÓ PARA SOLUÇÃO, EVELOPE.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SACHE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1,33</w:t>
            </w:r>
            <w:r w:rsidR="00002935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668,50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FISIOLOGICO 0,9% 100 ML (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CatMat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: 452796)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500 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BOLSA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4,62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2.310,00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FISIOLÓGICO 0,9% 250 ML (BR0268236)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3.000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BOLSA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5,53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16.590,00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FISIOLÓGICO 0,9% 500 ML (BR0268236)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3.000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BOLSA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6,79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20.370,00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FISIOLÓGICO 0,9% 1000 ML (BR0268236)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1.000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BOLSA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10,36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10.360,00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GLICOFISIOLÓGICO 5% 250 ML (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CatMat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: 366913)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1.000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BOLSA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6,40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6.400,00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GLICOFISIOLÓGICO 5% 500 ML (BR0366913)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1.000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BOLSA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7,50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7.500,00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SORO GLICOFISIOLÓGICO 5% 1000 ML (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CatMat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: 366913) FR 1.000,00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 BOLSA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6.000,00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SOLUÇÃO GLICOSADA 5% 250ML (BR0270092) sistema fechado, estéril, frasco individualizado,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reembalado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em caixas, contendo dados de identificação (nº de lote, data de fabricação e validade). O produto a ser entregue deverá apresentar validade de no mínimo 2/3 do prazo de validade total.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BOLSA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9,50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4.750,00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SOLUÇÃO GLICOSADA 5% 500ML (BR0270092) sistema fechado, estéril, frasco individualizado,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reembalado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em caixas, contendo dados de identificação (nº de lote, data de fabricação e validade). O produto a ser entregue deverá apresentar validade de no mínimo 2/3 do prazo de validade total.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500 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BOLSA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7,29</w:t>
            </w:r>
            <w:r w:rsidR="006B7A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B7A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3.647,00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LUVA CIRURGICA 6.5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(BR0269946) Material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nitrile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, tamanho 6,5, esterilidade estéril, características adicionais sem pó, isenta de látex.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PARES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1,19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119,00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LUVA CIRURGICA 7.5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(BR0269838) Material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nitrile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, tamanho 7,5, esterilidade estéril, características adicionais sem pó, isenta de látex.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PARES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1,19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119,00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LUVA CIRURGICA 8.0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(BR0272777) Material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nitrile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, tamanho 8,0, esterilidade estéril, características adicionais sem pó, isenta de látex.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PARES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1,45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145,00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CATÉTER INTRAVENOSO FLEXÍVEL Nº 24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[BR437180} Cateter periférico intravenoso, com dispositivo de segurança. Características: estéril (esterilizado por óxido de etileno).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Apirogênico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, radiopaco e flexível, com filtro, agulha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siliconizada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com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bisel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bi-angulado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e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trifacetado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, livre de látex, descartável e de uso único, conector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luer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look universal codificado por cores e com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ranhaduras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para fixação. Provido de dispositivo de segurança que cobre o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bisel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da agulha. Embalado em papel grau cirúrgico, contendo registro no Ministério da Saúde, lote, validade e data de fabricação, pronta para o uso.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1,82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910,00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EQUIPO PARA SORO MACROGOTAS C/ ROLDANAS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(BR390365) Equipo para soro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macrogotas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- dispositivo para fracionamento de soro, apresentado como um adaptador para frasco de soro, para fracionamento de soro, sistema fechado, com dimensional de penetrador conforme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nbr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14041, que facilita a utilização das soluções em almotolia e permite fracionamento através de conectores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luer-slip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e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luer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lock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de seringas e extensores, com protetores que garantam a esterilidade do produto após a abertura da embalagem, embalado em papel grau cirúrgico e estetizado a oxido de etileno. Embalagem individual que permita a abertura asséptica, contendo dados de identificação, data, método e validade de esterilização e registro do ministério da saúde.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0,77</w:t>
            </w:r>
            <w:r w:rsidR="006B7A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B7A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3.870,00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SCALP Nº 21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(BR437166)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0,22</w:t>
            </w:r>
            <w:r w:rsidR="006B7A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B7A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68,70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LENÇOL DESCARTAVEL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(BR0352012) Material papel, largura 0.70 m, comprimento 50 m, apresentação rolo.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ROLO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11,06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002935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4.424,00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24331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 xml:space="preserve">TESTE RÁPIDO DENGUE NS1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16,95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25.425,00</w:t>
            </w:r>
          </w:p>
        </w:tc>
      </w:tr>
      <w:tr w:rsidR="00C17148" w:rsidRPr="00AA08E0" w:rsidTr="009F17C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both"/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COLETOR PERFUROCORTANTE 7 LITROS</w:t>
            </w: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(BR0363484) Coletor para perfuro cortante, material papelão ondulado, com </w:t>
            </w:r>
            <w:proofErr w:type="spellStart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desconectador</w:t>
            </w:r>
            <w:proofErr w:type="spellEnd"/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 xml:space="preserve"> de agulha no coletor, alça dupla para transporte, trava de segurança, cor amarela, descartável, uso único, contendo sacola plástica amarela, fundo rígido, cinta lateral, bandeja interna, capacidade 07 litros, que atenda a requisitos de resistência.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4,37</w:t>
            </w:r>
            <w:r w:rsidR="006B7A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B7A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2.187,50</w:t>
            </w:r>
          </w:p>
        </w:tc>
      </w:tr>
      <w:tr w:rsidR="00595E3A" w:rsidRPr="00AA08E0" w:rsidTr="00AA08E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595E3A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6618F3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24333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AA08E0" w:rsidP="00DD4240">
            <w:pPr>
              <w:jc w:val="both"/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bCs/>
                <w:sz w:val="16"/>
                <w:szCs w:val="16"/>
              </w:rPr>
              <w:t>SUPORTE PARA SORO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AA08E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AA08E0" w:rsidP="00DD4240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AA08E0">
              <w:rPr>
                <w:rFonts w:ascii="Bookman Old Style" w:eastAsia="Times New Roman" w:hAnsi="Bookman Old Style" w:cs="Times New Roman"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165,00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A" w:rsidRPr="00AA08E0" w:rsidRDefault="00AA08E0" w:rsidP="00DD42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man Old Style" w:hAnsi="Bookman Old Style" w:cs="Arial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eastAsia="en-US"/>
              </w:rPr>
              <w:t>825,00</w:t>
            </w:r>
          </w:p>
        </w:tc>
      </w:tr>
      <w:tr w:rsidR="00C17148" w:rsidRPr="00C17148" w:rsidTr="00092DF6">
        <w:trPr>
          <w:trHeight w:val="225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DD424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b/>
                <w:sz w:val="16"/>
                <w:szCs w:val="16"/>
                <w:lang w:eastAsia="en-US"/>
              </w:rPr>
            </w:pPr>
            <w:r w:rsidRPr="00AA08E0">
              <w:rPr>
                <w:rFonts w:ascii="Bookman Old Style" w:hAnsi="Bookman Old Style" w:cs="Arial"/>
                <w:b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240" w:rsidRPr="00AA08E0" w:rsidRDefault="006B7AE0" w:rsidP="00DD42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Arial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  <w:lang w:eastAsia="en-US"/>
              </w:rPr>
              <w:t>146.957,70</w:t>
            </w:r>
          </w:p>
        </w:tc>
      </w:tr>
    </w:tbl>
    <w:p w:rsidR="002174CE" w:rsidRPr="00C17148" w:rsidRDefault="002174CE" w:rsidP="002174CE">
      <w:pPr>
        <w:pStyle w:val="PargrafodaLista"/>
        <w:ind w:left="0"/>
        <w:jc w:val="both"/>
        <w:rPr>
          <w:rFonts w:ascii="Bookman Old Style" w:hAnsi="Bookman Old Style" w:cs="Arial"/>
          <w:b/>
          <w:iCs/>
          <w:sz w:val="20"/>
          <w:szCs w:val="20"/>
        </w:rPr>
      </w:pPr>
    </w:p>
    <w:p w:rsidR="002174CE" w:rsidRPr="00C17148" w:rsidRDefault="002174CE" w:rsidP="002174CE">
      <w:pPr>
        <w:pStyle w:val="PargrafodaLista"/>
        <w:ind w:left="0" w:firstLine="708"/>
        <w:jc w:val="both"/>
        <w:rPr>
          <w:rFonts w:ascii="Bookman Old Style" w:hAnsi="Bookman Old Style" w:cs="Arial"/>
          <w:sz w:val="20"/>
          <w:szCs w:val="20"/>
        </w:rPr>
      </w:pPr>
      <w:r w:rsidRPr="00C17148">
        <w:rPr>
          <w:rFonts w:ascii="Bookman Old Style" w:hAnsi="Bookman Old Style" w:cs="Arial"/>
          <w:sz w:val="20"/>
          <w:szCs w:val="20"/>
        </w:rPr>
        <w:t xml:space="preserve">Assim, valor estimado da contratação conforme documento de pesquisa de preços é de </w:t>
      </w:r>
      <w:r w:rsidRPr="00C17148">
        <w:rPr>
          <w:rFonts w:ascii="Bookman Old Style" w:hAnsi="Bookman Old Style" w:cs="Arial"/>
          <w:b/>
          <w:sz w:val="20"/>
          <w:szCs w:val="20"/>
        </w:rPr>
        <w:t xml:space="preserve">R$ </w:t>
      </w:r>
      <w:r w:rsidR="00722071">
        <w:rPr>
          <w:rFonts w:ascii="Bookman Old Style" w:hAnsi="Bookman Old Style" w:cs="Arial"/>
          <w:b/>
          <w:sz w:val="20"/>
          <w:szCs w:val="20"/>
        </w:rPr>
        <w:t>148.179,00 (</w:t>
      </w:r>
      <w:r w:rsidR="00722071" w:rsidRPr="00722071">
        <w:rPr>
          <w:rFonts w:ascii="Bookman Old Style" w:hAnsi="Bookman Old Style" w:cs="Arial"/>
          <w:b/>
          <w:sz w:val="20"/>
          <w:szCs w:val="20"/>
        </w:rPr>
        <w:t>Cento e Quarenta e Oito Mil e Cento e Setenta e Nove Reais</w:t>
      </w:r>
      <w:r w:rsidRPr="00C17148">
        <w:rPr>
          <w:rFonts w:ascii="Bookman Old Style" w:hAnsi="Bookman Old Style" w:cs="Arial"/>
          <w:b/>
          <w:sz w:val="20"/>
          <w:szCs w:val="20"/>
        </w:rPr>
        <w:t>)</w:t>
      </w:r>
      <w:r w:rsidR="00722071">
        <w:rPr>
          <w:rFonts w:ascii="Bookman Old Style" w:hAnsi="Bookman Old Style" w:cs="Arial"/>
          <w:b/>
          <w:sz w:val="20"/>
          <w:szCs w:val="20"/>
        </w:rPr>
        <w:t>.</w:t>
      </w:r>
    </w:p>
    <w:p w:rsidR="002174CE" w:rsidRPr="00C17148" w:rsidRDefault="002174CE" w:rsidP="002174CE">
      <w:pPr>
        <w:pStyle w:val="PargrafodaLista"/>
        <w:ind w:left="0" w:firstLine="708"/>
        <w:jc w:val="both"/>
        <w:rPr>
          <w:rFonts w:ascii="Bookman Old Style" w:hAnsi="Bookman Old Style" w:cs="Arial"/>
          <w:b/>
          <w:iCs/>
          <w:sz w:val="20"/>
          <w:szCs w:val="20"/>
        </w:rPr>
      </w:pPr>
    </w:p>
    <w:p w:rsidR="002174CE" w:rsidRPr="00C17148" w:rsidRDefault="002174CE" w:rsidP="002174CE">
      <w:pPr>
        <w:pStyle w:val="PargrafodaLista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Bookman Old Style" w:hAnsi="Bookman Old Style"/>
          <w:b/>
          <w:sz w:val="20"/>
          <w:szCs w:val="20"/>
        </w:rPr>
      </w:pPr>
      <w:r w:rsidRPr="00C17148">
        <w:rPr>
          <w:rFonts w:ascii="Bookman Old Style" w:hAnsi="Bookman Old Style"/>
          <w:b/>
          <w:sz w:val="20"/>
          <w:szCs w:val="20"/>
        </w:rPr>
        <w:t xml:space="preserve">Prazo contratual </w:t>
      </w:r>
    </w:p>
    <w:p w:rsidR="002174CE" w:rsidRPr="00C17148" w:rsidRDefault="002174CE" w:rsidP="002174C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O prazo de vigência da contratação é de 12 (doze) meses, contados a partir da assinatura do contrato.</w:t>
      </w:r>
    </w:p>
    <w:p w:rsidR="002174CE" w:rsidRPr="00C17148" w:rsidRDefault="002174CE" w:rsidP="002174CE">
      <w:pPr>
        <w:pStyle w:val="PargrafodaLista"/>
        <w:numPr>
          <w:ilvl w:val="1"/>
          <w:numId w:val="2"/>
        </w:numPr>
        <w:ind w:left="0" w:firstLine="0"/>
        <w:jc w:val="both"/>
        <w:rPr>
          <w:rFonts w:ascii="Bookman Old Style" w:hAnsi="Bookman Old Style"/>
          <w:b/>
          <w:sz w:val="20"/>
          <w:szCs w:val="20"/>
        </w:rPr>
      </w:pPr>
      <w:r w:rsidRPr="00C17148">
        <w:rPr>
          <w:rFonts w:ascii="Bookman Old Style" w:hAnsi="Bookman Old Style"/>
          <w:b/>
          <w:sz w:val="20"/>
          <w:szCs w:val="20"/>
        </w:rPr>
        <w:t xml:space="preserve">Prazo contratual </w:t>
      </w:r>
    </w:p>
    <w:p w:rsidR="002174CE" w:rsidRPr="00F97223" w:rsidRDefault="002174CE" w:rsidP="00F97223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O prazo poderá ser prorrogado por até 10(dez) anos, na forma dos artigos 106 e 107 da Lei n° 14.133, de 2021.</w:t>
      </w:r>
    </w:p>
    <w:p w:rsidR="002174CE" w:rsidRPr="00C17148" w:rsidRDefault="002174CE" w:rsidP="002174CE">
      <w:pPr>
        <w:pStyle w:val="Nivel01"/>
        <w:keepNext w:val="0"/>
        <w:keepLines w:val="0"/>
        <w:widowControl w:val="0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0" w:hanging="24"/>
        <w:rPr>
          <w:rFonts w:ascii="Bookman Old Style" w:hAnsi="Bookman Old Style"/>
          <w:bCs w:val="0"/>
          <w:lang w:eastAsia="en-US"/>
        </w:rPr>
      </w:pPr>
      <w:r w:rsidRPr="00C17148">
        <w:rPr>
          <w:rFonts w:ascii="Bookman Old Style" w:hAnsi="Bookman Old Style"/>
        </w:rPr>
        <w:lastRenderedPageBreak/>
        <w:t xml:space="preserve">FUNDAMENTAÇÃO DA CONTRATAÇÃO </w:t>
      </w:r>
      <w:r w:rsidRPr="00C17148">
        <w:rPr>
          <w:rFonts w:ascii="Bookman Old Style" w:hAnsi="Bookman Old Style"/>
          <w:bCs w:val="0"/>
          <w:lang w:eastAsia="en-US"/>
        </w:rPr>
        <w:t>(Art. 6º, inciso XXIII, alínea ‘b’, da Lei nº 14.133/2021).</w:t>
      </w:r>
    </w:p>
    <w:p w:rsidR="002174CE" w:rsidRPr="00C17148" w:rsidRDefault="002174CE" w:rsidP="002174CE">
      <w:pPr>
        <w:pStyle w:val="Nivel01"/>
        <w:keepNext w:val="0"/>
        <w:keepLines w:val="0"/>
        <w:widowControl w:val="0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rFonts w:ascii="Bookman Old Style" w:hAnsi="Bookman Old Style"/>
          <w:b w:val="0"/>
          <w:bCs w:val="0"/>
          <w:lang w:eastAsia="en-US"/>
        </w:rPr>
      </w:pPr>
      <w:r w:rsidRPr="00C17148">
        <w:rPr>
          <w:rFonts w:ascii="Bookman Old Style" w:hAnsi="Bookman Old Style"/>
          <w:bCs w:val="0"/>
          <w:lang w:eastAsia="en-US"/>
        </w:rPr>
        <w:br/>
      </w:r>
      <w:r w:rsidRPr="00C17148">
        <w:rPr>
          <w:rFonts w:ascii="Bookman Old Style" w:hAnsi="Bookman Old Style"/>
          <w:b w:val="0"/>
          <w:bCs w:val="0"/>
          <w:lang w:eastAsia="en-US"/>
        </w:rPr>
        <w:t xml:space="preserve"> </w:t>
      </w:r>
      <w:r w:rsidRPr="00C17148">
        <w:rPr>
          <w:rFonts w:ascii="Bookman Old Style" w:hAnsi="Bookman Old Style"/>
          <w:b w:val="0"/>
          <w:bCs w:val="0"/>
          <w:lang w:eastAsia="en-US"/>
        </w:rPr>
        <w:tab/>
        <w:t>A compra de re</w:t>
      </w:r>
      <w:r w:rsidR="00116109" w:rsidRPr="00C17148">
        <w:rPr>
          <w:rFonts w:ascii="Bookman Old Style" w:hAnsi="Bookman Old Style"/>
          <w:b w:val="0"/>
          <w:bCs w:val="0"/>
          <w:lang w:eastAsia="en-US"/>
        </w:rPr>
        <w:t>médios</w:t>
      </w:r>
      <w:r w:rsidRPr="00C17148">
        <w:rPr>
          <w:rFonts w:ascii="Bookman Old Style" w:hAnsi="Bookman Old Style"/>
          <w:b w:val="0"/>
          <w:bCs w:val="0"/>
          <w:lang w:eastAsia="en-US"/>
        </w:rPr>
        <w:t xml:space="preserve"> devido à Epidemia de Dengue, conforme estipulado pelo Decreto Municipal nº 4.103/2024, encontra respaldo legal no inciso VIII da Lei 14.133/2021. Este trecho da lei permite a aquisição em casos de emergência ou calamidade pública, quando há urgência em resolver situações que possam causar danos ou comprometer a continuidade dos serviços públicos ou a segurança de pessoas, obras, serviços, equipamentos e outros bens, tanto públicos quanto privados. Esse dispositivo autoriza exclusivamente a aquisição dos bens necessários para lidar com a situação emergencial ou calamitosa em questão.</w:t>
      </w:r>
    </w:p>
    <w:p w:rsidR="002174CE" w:rsidRPr="00C17148" w:rsidRDefault="002174CE" w:rsidP="002174C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A aquisição de medi</w:t>
      </w:r>
      <w:r w:rsidR="00116109" w:rsidRPr="00C17148">
        <w:rPr>
          <w:rFonts w:ascii="Bookman Old Style" w:hAnsi="Bookman Old Style"/>
          <w:sz w:val="20"/>
          <w:szCs w:val="20"/>
          <w:lang w:eastAsia="en-US"/>
        </w:rPr>
        <w:t>camentos</w:t>
      </w:r>
      <w:r w:rsidRPr="00C17148">
        <w:rPr>
          <w:rFonts w:ascii="Bookman Old Style" w:hAnsi="Bookman Old Style"/>
          <w:sz w:val="20"/>
          <w:szCs w:val="20"/>
          <w:lang w:eastAsia="en-US"/>
        </w:rPr>
        <w:t xml:space="preserve"> revela-se como uma medida crucial diante da situação emergencial provocada pela Epidemia de Dengue, conforme previsto no Decreto Municipal nº 4.103/2024.</w:t>
      </w:r>
    </w:p>
    <w:p w:rsidR="002174CE" w:rsidRPr="00C17148" w:rsidRDefault="002174CE" w:rsidP="002174C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Neste contexto crítico, é imperativo ressaltar a importância vital desses recursos para o adequado tratamento dos pacientes afetados pela Dengue. A escassez ou a falta dos insumos necessários inevitavelmente resultaria em um agravamento considerável na assistência médica prestada, comprometendo não apenas a eficácia dos cuidados, mas também a saúde e bem-estar dos indivíduos atingidos.</w:t>
      </w:r>
    </w:p>
    <w:p w:rsidR="002174CE" w:rsidRPr="00C17148" w:rsidRDefault="002174CE" w:rsidP="002174C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Além disso, é necessário destacar que nos encontramos em um período de transição, em que novos processos licitatórios estão em curso. Enquanto alguns contratos já alcançaram o limite estipulado de compra, outros ainda aguardam a confirmação de empenhos, sem uma previsão clara de entrega dos materiais necessários.</w:t>
      </w:r>
    </w:p>
    <w:p w:rsidR="002174CE" w:rsidRPr="00C17148" w:rsidRDefault="002174CE" w:rsidP="002174C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Diante desse cenário desafiador e da urgência em assegurar a continuidade do atendimento de qualidade aos pacientes, torna-se imprescindível a adoção de medidas ágeis e eficazes. Portanto, solicita-se encarecidamente a aquisição dos medicamentos e insumos requeridos, por meio de um processo de dispensa de licitação, a fim de garantir a pronta disponibilidade desses recursos essenciais para a saúde pública e o enfrentamento efetivo da Epidemia de Dengue.</w:t>
      </w:r>
    </w:p>
    <w:p w:rsidR="002174CE" w:rsidRPr="00C17148" w:rsidRDefault="002174CE" w:rsidP="002174CE">
      <w:pPr>
        <w:rPr>
          <w:rFonts w:ascii="Bookman Old Style" w:hAnsi="Bookman Old Style"/>
          <w:sz w:val="20"/>
          <w:szCs w:val="20"/>
          <w:lang w:val="pt-PT"/>
        </w:rPr>
      </w:pPr>
    </w:p>
    <w:p w:rsidR="002174CE" w:rsidRPr="00C17148" w:rsidRDefault="002174CE" w:rsidP="002174CE">
      <w:pPr>
        <w:pStyle w:val="Nivel01"/>
        <w:numPr>
          <w:ilvl w:val="0"/>
          <w:numId w:val="0"/>
        </w:numPr>
        <w:tabs>
          <w:tab w:val="left" w:pos="87"/>
        </w:tabs>
        <w:spacing w:before="0"/>
        <w:rPr>
          <w:rFonts w:ascii="Bookman Old Style" w:hAnsi="Bookman Old Style"/>
          <w:bCs w:val="0"/>
          <w:lang w:eastAsia="en-US"/>
        </w:rPr>
      </w:pPr>
      <w:r w:rsidRPr="00C17148">
        <w:rPr>
          <w:rFonts w:ascii="Bookman Old Style" w:hAnsi="Bookman Old Style"/>
        </w:rPr>
        <w:t>3. DESCRIÇÃO DA SOLUÇÃO COMO UM TODO CONSIDERADO O CICLO DE VIDA DO OBJETO E ESPECIFICAÇÃO DO PRODUTO.</w:t>
      </w:r>
      <w:r w:rsidRPr="00C17148">
        <w:rPr>
          <w:rFonts w:ascii="Bookman Old Style" w:hAnsi="Bookman Old Style"/>
          <w:bCs w:val="0"/>
          <w:lang w:eastAsia="en-US"/>
        </w:rPr>
        <w:t xml:space="preserve"> (Art. 6º, inciso XXIII, alínea ‘c’, da Lei nº 14.133/2021). (Art.6º, inciso XXIII, alínea ‘c’, da Lei nº 14.133/2021).</w:t>
      </w:r>
    </w:p>
    <w:p w:rsidR="002174CE" w:rsidRPr="00C17148" w:rsidRDefault="002174CE" w:rsidP="002174CE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 xml:space="preserve"> </w:t>
      </w:r>
    </w:p>
    <w:p w:rsidR="002174CE" w:rsidRPr="00C17148" w:rsidRDefault="00726F21" w:rsidP="002174CE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A solução abrange diversas etapas do ciclo de vida do objeto, desde a identificação da necessidade até o descarte adequado dos materiais utilizados. Inicialmente, é realizado um levantamento das demandas emergenciais relacionadas à Epidemia de Dengue, levando em consideração a quantidade necessária de medicamentos e insumos para atender à demanda dos pacientes afetados.</w:t>
      </w:r>
    </w:p>
    <w:p w:rsidR="00726F21" w:rsidRPr="00C17148" w:rsidRDefault="00726F21" w:rsidP="002174CE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ab/>
        <w:t>A especificação dos produtos a serem adquiridos é elaborada com base nas diretrizes e protocolos de tratamento estabelecidos para a Dengue, garantindo a eficácia e segurança dos medicamentos e insumos utilizados. São considerados critérios como a qualidade dos produtos, sua compatibilidade com as necessidades do tratamento, bem como sua disponibilidade no mercado.</w:t>
      </w:r>
    </w:p>
    <w:p w:rsidR="00726F21" w:rsidRPr="00C17148" w:rsidRDefault="00726F21" w:rsidP="00726F21">
      <w:pPr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ab/>
        <w:t>Além disso, é importante assegurar que os produtos adquiridos atendam aos requisitos legais e regulamentares aplicáveis, garantindo a conformidade com as normas de segurança e qualidade estabelecidas pelos órgãos competentes.</w:t>
      </w:r>
    </w:p>
    <w:p w:rsidR="00726F21" w:rsidRPr="00C17148" w:rsidRDefault="00726F21" w:rsidP="00726F21">
      <w:pPr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ab/>
        <w:t>Durante a fase de aquisição, são realizados os procedimentos necessários para garantir a transparência e a eficiência do processo, incluindo a escolha de fornecedores confiáveis, a análise de propostas e a formalização dos contratos de compra.</w:t>
      </w:r>
    </w:p>
    <w:p w:rsidR="00726F21" w:rsidRPr="00C17148" w:rsidRDefault="00726F21" w:rsidP="00726F21">
      <w:pPr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ab/>
        <w:t>Ao longo do uso dos medicamentos e insumos, é fundamental monitorar sua eficácia e segurança, bem como garantir o correto armazenamento e distribuição dos materiais, a fim de evitar desperdícios e garantir o acesso adequado aos pacientes que deles necessitam.</w:t>
      </w:r>
    </w:p>
    <w:p w:rsidR="00726F21" w:rsidRPr="00C17148" w:rsidRDefault="00726F21" w:rsidP="00726F21">
      <w:pPr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ab/>
        <w:t>Por fim, ao final do ciclo de vida do objeto, são adotadas medidas para o descarte adequado dos materiais utilizados, seguindo as normas e regulamentações ambientais vigentes, a fim de minimizar os impactos negativos ao meio ambiente e à saúde pública.</w:t>
      </w:r>
    </w:p>
    <w:p w:rsidR="002174CE" w:rsidRPr="00C17148" w:rsidRDefault="002174CE" w:rsidP="002174CE">
      <w:pPr>
        <w:ind w:firstLine="360"/>
        <w:jc w:val="both"/>
        <w:rPr>
          <w:rFonts w:ascii="Bookman Old Style" w:hAnsi="Bookman Old Style"/>
          <w:sz w:val="20"/>
          <w:szCs w:val="20"/>
        </w:rPr>
      </w:pPr>
    </w:p>
    <w:p w:rsidR="002174CE" w:rsidRPr="00C17148" w:rsidRDefault="002174CE" w:rsidP="003C480E">
      <w:pPr>
        <w:jc w:val="both"/>
        <w:rPr>
          <w:rFonts w:ascii="Bookman Old Style" w:hAnsi="Bookman Old Style" w:cs="Arial"/>
          <w:b/>
          <w:sz w:val="20"/>
          <w:szCs w:val="20"/>
          <w:lang w:eastAsia="en-US"/>
        </w:rPr>
      </w:pPr>
      <w:r w:rsidRPr="00C17148">
        <w:rPr>
          <w:rFonts w:ascii="Bookman Old Style" w:hAnsi="Bookman Old Style" w:cs="Arial"/>
          <w:b/>
          <w:sz w:val="20"/>
          <w:szCs w:val="20"/>
        </w:rPr>
        <w:t xml:space="preserve">4. REQUISITOS DA CONTRATAÇÃO </w:t>
      </w:r>
      <w:r w:rsidRPr="00C17148">
        <w:rPr>
          <w:rFonts w:ascii="Bookman Old Style" w:hAnsi="Bookman Old Style" w:cs="Arial"/>
          <w:b/>
          <w:sz w:val="20"/>
          <w:szCs w:val="20"/>
          <w:lang w:eastAsia="en-US"/>
        </w:rPr>
        <w:t>(Art. 6º, inciso XXIII, alínea ‘d’, da Lei nº 14.133/2021)</w:t>
      </w:r>
    </w:p>
    <w:p w:rsidR="007652F9" w:rsidRPr="00C17148" w:rsidRDefault="002174CE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lastRenderedPageBreak/>
        <w:tab/>
      </w:r>
      <w:r w:rsidR="007652F9" w:rsidRPr="00C17148">
        <w:rPr>
          <w:rFonts w:ascii="Bookman Old Style" w:hAnsi="Bookman Old Style"/>
          <w:sz w:val="20"/>
          <w:szCs w:val="20"/>
        </w:rPr>
        <w:t>Atendimento às Especificações Técnicas: A contratada deve fornecer medicamentos e insumos que atendam às especificações técnicas estabelecidas, garantindo sua eficácia e segurança para o tratamento da Dengue.</w:t>
      </w:r>
    </w:p>
    <w:p w:rsidR="007652F9" w:rsidRPr="00C17148" w:rsidRDefault="007652F9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Cumprimento dos Prazos: É fundamental que a contratada cumpra os prazos estipulados para a entrega dos produtos, garantindo o abastecimento contínuo e oportuno durante todo o período contratual.</w:t>
      </w:r>
    </w:p>
    <w:p w:rsidR="007652F9" w:rsidRPr="00C17148" w:rsidRDefault="007652F9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Qualidade dos Produtos: Os medicamentos e insumos fornecidos devem atender aos mais altos padrões de qualidade, assegurando sua eficácia terapêutica e segurança para uso em ambiente ambulatorial.</w:t>
      </w:r>
    </w:p>
    <w:p w:rsidR="007652F9" w:rsidRPr="00C17148" w:rsidRDefault="007652F9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Conformidade Regulatória: A contratada deve estar em conformidade com todas as normas e regulamentações aplicáveis à produção, armazenamento e distribuição de medicamentos e insumos, garantindo sua licença de funcionamento e autorizações necessárias.</w:t>
      </w:r>
    </w:p>
    <w:p w:rsidR="007652F9" w:rsidRPr="00C17148" w:rsidRDefault="007652F9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Capacidade Técnica e Operacional: É necessário que a contratada possua a capacidade técnica e operacional para fornecer os produtos solicitados em conformidade com as quantidades e especificações requeridas.</w:t>
      </w:r>
    </w:p>
    <w:p w:rsidR="002174CE" w:rsidRPr="00C17148" w:rsidRDefault="007652F9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Preço Competitivo: O preço dos produtos fornecidos pela contratada deve ser competitivo e justificável, garantindo o melhor custo-benefício para o contratante.</w:t>
      </w:r>
    </w:p>
    <w:p w:rsidR="007652F9" w:rsidRPr="00C17148" w:rsidRDefault="007652F9" w:rsidP="007652F9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Ética e Transparência: A contratada deve conduzir seus negócios de forma ética e transparente, respeitando os princípios de integridade, honestidade e responsabilidade social.</w:t>
      </w:r>
    </w:p>
    <w:p w:rsidR="002174CE" w:rsidRPr="00C17148" w:rsidRDefault="002174CE" w:rsidP="002174CE">
      <w:pPr>
        <w:jc w:val="both"/>
        <w:rPr>
          <w:rFonts w:ascii="Bookman Old Style" w:hAnsi="Bookman Old Style"/>
          <w:sz w:val="20"/>
          <w:szCs w:val="20"/>
        </w:rPr>
      </w:pPr>
    </w:p>
    <w:p w:rsidR="002174CE" w:rsidRPr="00C17148" w:rsidRDefault="002174CE" w:rsidP="002174CE">
      <w:pPr>
        <w:pStyle w:val="Nivel01"/>
        <w:numPr>
          <w:ilvl w:val="0"/>
          <w:numId w:val="0"/>
        </w:numPr>
        <w:tabs>
          <w:tab w:val="left" w:pos="87"/>
        </w:tabs>
        <w:spacing w:before="0"/>
        <w:rPr>
          <w:rFonts w:ascii="Bookman Old Style" w:hAnsi="Bookman Old Style"/>
          <w:bCs w:val="0"/>
          <w:lang w:eastAsia="en-US"/>
        </w:rPr>
      </w:pPr>
      <w:r w:rsidRPr="00C17148">
        <w:rPr>
          <w:rFonts w:ascii="Bookman Old Style" w:hAnsi="Bookman Old Style"/>
        </w:rPr>
        <w:t xml:space="preserve">5. MODELO DE EXECUÇÃO DO OBJETO, QUE CONSISTE NA DEFINIÇÃO DE COMO O CONTRATO DEVERÁ PRODUZIR OS RESULTADOS PRETENDIDOS DESDE O SEU INÍCIO ATÉ O SEU ENCERRAMENTO. </w:t>
      </w:r>
      <w:r w:rsidRPr="00C17148">
        <w:rPr>
          <w:rFonts w:ascii="Bookman Old Style" w:hAnsi="Bookman Old Style"/>
          <w:bCs w:val="0"/>
          <w:lang w:eastAsia="en-US"/>
        </w:rPr>
        <w:t>(Art. 6º, inciso XXIII, alínea ‘e’, da Lei nº 14.133/2021).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O modelo de execução do objeto define como o contrato será conduzido para alcançar os resultados desejados desde o início até o encerramento. Para a aquisição de medicamentos e insumos ambulatoriais em resposta à Epidemia de Dengue, conforme previsto pelo Decreto Municipal nº 4.103/2024, o modelo de execução inclui: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Planejamento da Execução: Elaboração de um plano detalhado que define as atividades, prazos, recursos necessários e responsáveis por cada etapa do processo de aquisição.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Procedimentos de Compra: Adoção de procedimentos transparentes e eficientes para a seleção de fornecedores, análise de propostas e formalização do contrato.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Garantia da Qualidade e Segurança: Implementação de medidas para garantir a qualidade e segurança dos produtos adquiridos, incluindo inspeções de qualidade e monitoramento do armazenamento.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Gestão de Fornecedores: Estabelecimento de um sistema de gestão para monitorar o desempenho dos fornecedores, avaliando sua capacidade de entrega e conformidade com os termos do contrato.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Controle de Custos e Orçamento: Adoção de mecanismos para garantir que a aquisição seja realizada dentro dos limites orçamentários estabelecidos.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Monitoramento e Avaliação: Realização de monitoramentos regulares para avaliar o progresso das atividades e tomar medidas corretivas quando necessário.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Encerramento do Contrato: Realização das atividades necessárias para o encerramento formal do contrato, incluindo verificação da entrega completa dos produtos e liquidação de pendências financeiras.</w:t>
      </w:r>
    </w:p>
    <w:p w:rsidR="003C480E" w:rsidRPr="00C17148" w:rsidRDefault="003C480E" w:rsidP="003C480E">
      <w:pPr>
        <w:rPr>
          <w:rFonts w:ascii="Bookman Old Style" w:hAnsi="Bookman Old Style"/>
          <w:sz w:val="20"/>
          <w:szCs w:val="20"/>
          <w:lang w:eastAsia="en-US"/>
        </w:rPr>
      </w:pPr>
      <w:r w:rsidRPr="00C17148">
        <w:rPr>
          <w:rFonts w:ascii="Bookman Old Style" w:hAnsi="Bookman Old Style"/>
          <w:sz w:val="20"/>
          <w:szCs w:val="20"/>
          <w:lang w:eastAsia="en-US"/>
        </w:rPr>
        <w:tab/>
        <w:t>Esse modelo visa garantir a eficácia, eficiência e transparência na aquisição dos medicamentos e insumos necessários para enfrentar a Epidemia de Dengue, assegurando o atendimento adequado aos pacientes afetados.</w:t>
      </w:r>
    </w:p>
    <w:p w:rsidR="002174CE" w:rsidRPr="00C17148" w:rsidRDefault="002174CE" w:rsidP="002174CE">
      <w:pPr>
        <w:jc w:val="both"/>
        <w:rPr>
          <w:rFonts w:ascii="Bookman Old Style" w:hAnsi="Bookman Old Style"/>
          <w:sz w:val="20"/>
          <w:szCs w:val="20"/>
          <w:lang w:eastAsia="en-US"/>
        </w:rPr>
      </w:pPr>
    </w:p>
    <w:p w:rsidR="002174CE" w:rsidRPr="00C17148" w:rsidRDefault="002174CE" w:rsidP="002174CE">
      <w:pPr>
        <w:pStyle w:val="PargrafodaLista"/>
        <w:numPr>
          <w:ilvl w:val="1"/>
          <w:numId w:val="3"/>
        </w:numPr>
        <w:ind w:left="0" w:firstLine="0"/>
        <w:jc w:val="both"/>
        <w:rPr>
          <w:rFonts w:ascii="Bookman Old Style" w:hAnsi="Bookman Old Style"/>
          <w:b/>
          <w:sz w:val="20"/>
          <w:szCs w:val="20"/>
        </w:rPr>
      </w:pPr>
      <w:r w:rsidRPr="00C17148">
        <w:rPr>
          <w:rFonts w:ascii="Bookman Old Style" w:hAnsi="Bookman Old Style"/>
          <w:b/>
          <w:sz w:val="20"/>
          <w:szCs w:val="20"/>
        </w:rPr>
        <w:t>DAS OBRIGAÇÕES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Fornecer os medicamentos e insumos ambulatoriais conforme especificado nos termos do contrato e de acordo com as normas e regulamentações aplicáveis.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Garantir a qualidade e segurança dos produtos fornecidos, incluindo a conformidade com os padrões estabelecidos pelos órgãos reguladores competentes.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lastRenderedPageBreak/>
        <w:t>Cumprir os prazos estabelecidos para a entrega dos produtos, assegurando o abastecimento contínuo e oportuno dos medicamentos e insumos necessários.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Manter a confidencialidade das informações relacionadas ao contrato e aos pacientes atendidos, respeitando as normas de privacidade e proteção de dados.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Responsabilizar-se pela correta armazenagem dos produtos durante o transporte e enquanto estiverem sob sua custódia, garantindo sua integridade e segurança.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Prestar assistência técnica e suporte necessários, incluindo esclarecimento de dúvidas e resolução de eventuais problemas relacionados aos produtos fornecidos.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Cumprir com todas as obrigações fiscais, tributárias e trabalhistas decorrentes do contrato, incluindo o pagamento de impostos e taxas aplicáveis.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Manter-se em conformidade com as políticas e diretrizes estabelecidas pelo contratante, colaborando de forma transparente e proativa para o bom andamento do contrato.</w:t>
      </w:r>
    </w:p>
    <w:p w:rsidR="003C480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Informar prontamente ao contratante sobre quaisquer eventos ou circunstâncias que possam afetar a execução do contrato, incluindo a ocorrência de atrasos ou problemas na entrega dos produtos.</w:t>
      </w:r>
    </w:p>
    <w:p w:rsidR="002174CE" w:rsidRPr="00C17148" w:rsidRDefault="003C480E" w:rsidP="003C480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Cumprir com todas as demais obrigações estabelecidas nos termos do contrato e agir de boa-fé em todas as interações com o contratante.</w:t>
      </w:r>
    </w:p>
    <w:p w:rsidR="002174CE" w:rsidRPr="00C17148" w:rsidRDefault="002174CE" w:rsidP="002174CE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2174CE" w:rsidRPr="00C17148" w:rsidRDefault="002174CE" w:rsidP="002174CE">
      <w:pPr>
        <w:pStyle w:val="PargrafodaLista"/>
        <w:numPr>
          <w:ilvl w:val="1"/>
          <w:numId w:val="3"/>
        </w:numPr>
        <w:ind w:left="0" w:firstLine="0"/>
        <w:jc w:val="both"/>
        <w:rPr>
          <w:rFonts w:ascii="Bookman Old Style" w:hAnsi="Bookman Old Style"/>
          <w:b/>
          <w:sz w:val="20"/>
          <w:szCs w:val="20"/>
          <w:lang w:eastAsia="en-US"/>
        </w:rPr>
      </w:pPr>
      <w:r w:rsidRPr="00C17148">
        <w:rPr>
          <w:rFonts w:ascii="Bookman Old Style" w:hAnsi="Bookman Old Style"/>
          <w:b/>
          <w:sz w:val="20"/>
          <w:szCs w:val="20"/>
        </w:rPr>
        <w:t>DO PRAZO, FORMA E LOCAL DE ENTREGA DO OBJETO</w:t>
      </w:r>
    </w:p>
    <w:p w:rsidR="002174CE" w:rsidRPr="00C17148" w:rsidRDefault="002174CE" w:rsidP="002174C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 xml:space="preserve">Os </w:t>
      </w:r>
      <w:r w:rsidR="007652F9" w:rsidRPr="00C17148">
        <w:rPr>
          <w:rFonts w:ascii="Bookman Old Style" w:hAnsi="Bookman Old Style"/>
          <w:sz w:val="20"/>
          <w:szCs w:val="20"/>
        </w:rPr>
        <w:t>medic</w:t>
      </w:r>
      <w:r w:rsidR="00BE118E" w:rsidRPr="00C17148">
        <w:rPr>
          <w:rFonts w:ascii="Bookman Old Style" w:hAnsi="Bookman Old Style"/>
          <w:sz w:val="20"/>
          <w:szCs w:val="20"/>
        </w:rPr>
        <w:t>amentos deverão ser entregues no almoxarifado da</w:t>
      </w:r>
      <w:r w:rsidR="007652F9" w:rsidRPr="00C17148">
        <w:rPr>
          <w:rFonts w:ascii="Bookman Old Style" w:hAnsi="Bookman Old Style"/>
          <w:sz w:val="20"/>
          <w:szCs w:val="20"/>
        </w:rPr>
        <w:t xml:space="preserve"> </w:t>
      </w:r>
      <w:r w:rsidRPr="00C17148">
        <w:rPr>
          <w:rFonts w:ascii="Bookman Old Style" w:hAnsi="Bookman Old Style"/>
          <w:sz w:val="20"/>
          <w:szCs w:val="20"/>
        </w:rPr>
        <w:t>Secretaria</w:t>
      </w:r>
      <w:r w:rsidR="00BE118E" w:rsidRPr="00C17148">
        <w:rPr>
          <w:rFonts w:ascii="Bookman Old Style" w:hAnsi="Bookman Old Style"/>
          <w:sz w:val="20"/>
          <w:szCs w:val="20"/>
        </w:rPr>
        <w:t xml:space="preserve"> Municipal de Saúde</w:t>
      </w:r>
      <w:r w:rsidRPr="00C17148">
        <w:rPr>
          <w:rFonts w:ascii="Bookman Old Style" w:hAnsi="Bookman Old Style"/>
          <w:sz w:val="20"/>
          <w:szCs w:val="20"/>
        </w:rPr>
        <w:t xml:space="preserve">, </w:t>
      </w:r>
      <w:r w:rsidR="00BE118E" w:rsidRPr="00C17148">
        <w:rPr>
          <w:rFonts w:ascii="Bookman Old Style" w:hAnsi="Bookman Old Style"/>
          <w:sz w:val="20"/>
          <w:szCs w:val="20"/>
        </w:rPr>
        <w:t>localizado no endereço</w:t>
      </w:r>
      <w:r w:rsidR="00621455" w:rsidRPr="00C17148">
        <w:rPr>
          <w:rFonts w:ascii="Bookman Old Style" w:hAnsi="Bookman Old Style"/>
          <w:sz w:val="20"/>
          <w:szCs w:val="20"/>
        </w:rPr>
        <w:t>:</w:t>
      </w:r>
      <w:r w:rsidR="00BE118E" w:rsidRPr="00C17148">
        <w:rPr>
          <w:rFonts w:ascii="Bookman Old Style" w:hAnsi="Bookman Old Style"/>
          <w:sz w:val="20"/>
          <w:szCs w:val="20"/>
        </w:rPr>
        <w:t xml:space="preserve"> </w:t>
      </w:r>
      <w:r w:rsidR="00BE118E" w:rsidRPr="00C17148">
        <w:rPr>
          <w:rFonts w:ascii="Bookman Old Style" w:hAnsi="Bookman Old Style"/>
          <w:b/>
          <w:sz w:val="20"/>
          <w:szCs w:val="20"/>
        </w:rPr>
        <w:t>Rua Santos Dumont, 677, Centro, cidade de Santo Antônio do Sudoeste – PR, CEP: 85.710-000</w:t>
      </w:r>
      <w:r w:rsidR="00621455" w:rsidRPr="00C17148">
        <w:rPr>
          <w:rFonts w:ascii="Bookman Old Style" w:hAnsi="Bookman Old Style"/>
          <w:b/>
          <w:sz w:val="20"/>
          <w:szCs w:val="20"/>
        </w:rPr>
        <w:t>,</w:t>
      </w:r>
      <w:r w:rsidR="00BE118E" w:rsidRPr="00C17148">
        <w:rPr>
          <w:rFonts w:ascii="Bookman Old Style" w:hAnsi="Bookman Old Style"/>
          <w:sz w:val="20"/>
          <w:szCs w:val="20"/>
        </w:rPr>
        <w:t xml:space="preserve"> entre os horários das 07:30h às 11:00h e 13:00h às 16:30h,</w:t>
      </w:r>
      <w:r w:rsidRPr="00C17148">
        <w:rPr>
          <w:rFonts w:ascii="Bookman Old Style" w:hAnsi="Bookman Old Style"/>
          <w:sz w:val="20"/>
          <w:szCs w:val="20"/>
        </w:rPr>
        <w:t xml:space="preserve"> no prazo máximo de </w:t>
      </w:r>
      <w:r w:rsidR="00BE118E" w:rsidRPr="00C17148">
        <w:rPr>
          <w:rFonts w:ascii="Bookman Old Style" w:hAnsi="Bookman Old Style"/>
          <w:sz w:val="20"/>
          <w:szCs w:val="20"/>
        </w:rPr>
        <w:t>02 (dois)</w:t>
      </w:r>
      <w:r w:rsidRPr="00C17148">
        <w:rPr>
          <w:rFonts w:ascii="Bookman Old Style" w:hAnsi="Bookman Old Style"/>
          <w:sz w:val="20"/>
          <w:szCs w:val="20"/>
        </w:rPr>
        <w:t xml:space="preserve"> dias úteis, após o recebimento da nota de empenho, seguindo rigorosamente as quantidades solicitadas no documento supra.</w:t>
      </w:r>
    </w:p>
    <w:p w:rsidR="00BE118E" w:rsidRPr="00C17148" w:rsidRDefault="00BE118E" w:rsidP="002174C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Caso não seja possível a entrega na data assinalada, a empresa deverá comunicar as razõ</w:t>
      </w:r>
      <w:r w:rsidR="00213C81">
        <w:rPr>
          <w:rFonts w:ascii="Bookman Old Style" w:hAnsi="Bookman Old Style"/>
          <w:sz w:val="20"/>
          <w:szCs w:val="20"/>
        </w:rPr>
        <w:t>es respectivas com pelo menos 01 (um) dia</w:t>
      </w:r>
      <w:r w:rsidRPr="00C17148">
        <w:rPr>
          <w:rFonts w:ascii="Bookman Old Style" w:hAnsi="Bookman Old Style"/>
          <w:sz w:val="20"/>
          <w:szCs w:val="20"/>
        </w:rPr>
        <w:t xml:space="preserve"> de antecedência para que qualquer pleito de prorrogação de prazo seja analisado, ressalvadas situações de caso fortuito e força maior.</w:t>
      </w:r>
    </w:p>
    <w:p w:rsidR="002174CE" w:rsidRPr="00C17148" w:rsidRDefault="00BE118E" w:rsidP="002174CE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>Os itens entregues deverão estar acompanhados da Nota Fiscal, que deverá conter o número do contrato e da Requisição de Empenho ou do Empenho correspondente, bem como, o descritivo dos itens conforme o contrato.</w:t>
      </w:r>
    </w:p>
    <w:p w:rsidR="00BE118E" w:rsidRPr="00C17148" w:rsidRDefault="00BE118E" w:rsidP="002174CE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2174CE" w:rsidRPr="00C17148" w:rsidRDefault="002174CE" w:rsidP="002174CE">
      <w:pPr>
        <w:pStyle w:val="Nivel01"/>
        <w:numPr>
          <w:ilvl w:val="0"/>
          <w:numId w:val="3"/>
        </w:numPr>
        <w:tabs>
          <w:tab w:val="left" w:pos="87"/>
        </w:tabs>
        <w:spacing w:before="0"/>
        <w:ind w:left="0" w:firstLine="0"/>
        <w:rPr>
          <w:rFonts w:ascii="Bookman Old Style" w:hAnsi="Bookman Old Style"/>
        </w:rPr>
      </w:pPr>
      <w:r w:rsidRPr="00C17148">
        <w:rPr>
          <w:rFonts w:ascii="Bookman Old Style" w:hAnsi="Bookman Old Style"/>
        </w:rPr>
        <w:t>MODELO DE GESTÃO DO CONTRATO, QUE DESCREVE COMO A EXECUÇÃO DO OBJETO SERÁ ACOMPANHADA E FISCALIZADA PELO ÓRGÃO OU ENTIDADE.</w:t>
      </w:r>
      <w:r w:rsidRPr="00C17148">
        <w:rPr>
          <w:rFonts w:ascii="Bookman Old Style" w:hAnsi="Bookman Old Style"/>
          <w:b w:val="0"/>
        </w:rPr>
        <w:t xml:space="preserve"> </w:t>
      </w:r>
      <w:r w:rsidRPr="00C17148">
        <w:rPr>
          <w:rFonts w:ascii="Bookman Old Style" w:hAnsi="Bookman Old Style"/>
          <w:bCs w:val="0"/>
          <w:lang w:eastAsia="en-US"/>
        </w:rPr>
        <w:t>(Art. 6º, inciso XXIII, alínea ‘f’, da Lei nº 14.133/2021).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contrato deverá ser executado fielmente pelas partes, de acordo com as cláusulas avençadas e as normas da Lei nº 14.133, de 2021, e cada parte responderá pelas consequências de sua inexecução total ou parcial.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Em caso de impedimento, ordem de paralisação ou suspensão do contrato, o cronograma de execução será prorrogado automaticamente pelo tempo correspondente, anotadas tais circunstâncias mediante simples apostila.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As comunicações entre o órgão ou entidade e a contratada devem ser realizadas por escrito sempre que o ato exigir tal formalidade, admitindo-se o uso de mensagem eletrônica para esse fim.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órgão ou entidade poderá convocar representante da empresa para adoção de providências que devam ser cumpridas de imediato.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A execução do contrato deverá ser acompanhada e fiscalizada pelo (s) fiscal (</w:t>
      </w:r>
      <w:proofErr w:type="spellStart"/>
      <w:r w:rsidRPr="00C17148">
        <w:rPr>
          <w:rFonts w:ascii="Bookman Old Style" w:hAnsi="Bookman Old Style" w:cs="Cambria"/>
          <w:color w:val="auto"/>
        </w:rPr>
        <w:t>is</w:t>
      </w:r>
      <w:proofErr w:type="spellEnd"/>
      <w:r w:rsidRPr="00C17148">
        <w:rPr>
          <w:rFonts w:ascii="Bookman Old Style" w:hAnsi="Bookman Old Style" w:cs="Cambria"/>
          <w:color w:val="auto"/>
        </w:rPr>
        <w:t>) do contrato, ou pelos respectivos substitutos (Lei nº 14.133, de 2021, art. 117, caput).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fiscal técnico do contrato acompanhará a execução do contrato, para que sejam cumpridas todas as condições estabelecidas no contrato, de modo a assegurar os melhores resultados para a Administração. (Decreto nº 11.246, de 2022, art. 22, VI);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fiscal técnico do contrato anotará no histórico de gerenciamento do contrato todas as ocorrências relacionadas à execução do contrato, com a descrição do que for necessário para a regularização das faltas ou dos defeitos observados. (Lei nº 14.133, de 2021, art. 117, §1º, e Decreto nº 11.246, de 2022, art. 22, II);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 xml:space="preserve">Identificada qualquer inexatidão ou irregularidade, o fiscal técnico do contrato emitirá notificações para a correção da execução do contrato, determinando prazo para a correção. (Decreto nº 11.246, de 2022, art. 22, III); 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fiscal técnico do contrato informará ao gestor do contrato, em tempo hábil, a situação que demandar decisão ou adoção de medidas que ultrapassem sua competência, para que adote as medidas necessárias e saneadoras, se for o caso. (Decreto nº 11.246, de 2022, art. 22, IV).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No caso de ocorrências que possam inviabilizar a execução do contrato nas datas aprazadas, o fiscal técnico do contrato comunicará o fato imediatamente ao gestor do contrato. (Decreto nº 11.246, de 2022, art. 22, V).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fiscal técnico do contrato comunicará ao gestor do contrato, em tempo hábil, o término do contrato sob sua responsabilidade, com vistas à renovação tempestiva ou à prorrogação contratual (Decreto nº 11.246, de 2022, art. 22, VII).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 xml:space="preserve">O fiscal administrativo do contrato verificará a manutenção das condições de habilitação da contratada, acompanhará o empenho, o pagamento, as garantias, as glosas e a formalização de </w:t>
      </w:r>
      <w:proofErr w:type="spellStart"/>
      <w:r w:rsidRPr="00C17148">
        <w:rPr>
          <w:rFonts w:ascii="Bookman Old Style" w:hAnsi="Bookman Old Style" w:cs="Cambria"/>
          <w:color w:val="auto"/>
        </w:rPr>
        <w:t>apostilamento</w:t>
      </w:r>
      <w:proofErr w:type="spellEnd"/>
      <w:r w:rsidRPr="00C17148">
        <w:rPr>
          <w:rFonts w:ascii="Bookman Old Style" w:hAnsi="Bookman Old Style" w:cs="Cambria"/>
          <w:color w:val="auto"/>
        </w:rPr>
        <w:t xml:space="preserve"> e termos aditivos, solicitando quaisquer documentos comprobatórios pertinentes, caso necessário (Art. 23, I e II, do Decreto nº 11.246, de 2022).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Caso ocorra descumprimento das obrigações contratuais, o fiscal administrativo do contrato atuará tempestivamente na solução do problema, reportando ao gestor do contrato para que tome as providências cabíveis, quando ultrapassar a sua competência; (Decreto nº 11.246, de 2022, art. 23, IV).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gestor do contrato coordenará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verificação da necessidade de adequações do contrato para fins de atendimento da finalidade da administração. (Decreto nº 11.246, de 2022, art. 21, IV).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gestor do contrato acompanhará a manutenção das condições de habilitação da contratada, para fins de empenho de despesa e pagamento, e anotará os problemas que obstem o fluxo normal da liquidação e do pagamento da despesa no relatório de riscos eventuais. (Decreto nº 11.246, de 2022, art. 21, III).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gestor do contrato acompanhará os registros realizados pelos fiscais do contrato, de todas as ocorrências relacionadas à execução do contrato e as medidas adotadas, informando, se for o caso, à autoridade superior àquelas que ultrapassarem a sua competência. (Decreto nº 11.246, de 2022, art. 21, II).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gestor do contrato emitirá documento comprobatório da avaliação realizada pelos fiscais técnico, administrativo e setorial quanto ao cumprimento de obrigações assumidas pelo contratado, com menção ao seu desempenho na execução contratual, baseado nos indicadores objetivamente definidos e aferidos, e a eventuais penalidades aplicadas, devendo constar do cadastro de atesto de cumprimento de obrigações. (Decreto nº 11.246, de 2022, art. 21, VIII).</w:t>
      </w:r>
    </w:p>
    <w:p w:rsidR="002174CE" w:rsidRPr="00C17148" w:rsidRDefault="002174CE" w:rsidP="002174CE">
      <w:pPr>
        <w:pStyle w:val="Nivel3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gestor do contrato tomará providências para a formalização de processo administrativo de responsabilização para fins de aplicação de sanções, a ser conduzido pela comissão de que trata o art. 158 da Lei nº 14.133, de 2021, ou pelo agente ou pelo setor com competência para tal, conforme o caso. (Decreto nº 11.246, de 2022, art. 21, X).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fiscal administrativo do contrato comunicará ao gestor do contrato, em tempo hábil, o término do contrato sob sua responsabilidade, com vistas à tempestiva renovação ou prorrogação contratual. (Decreto nº 11.246, de 2022, art. 22, VII).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 w:cs="Cambria"/>
          <w:color w:val="auto"/>
        </w:rPr>
        <w:tab/>
        <w:t>O gestor do contrato deverá elaborará relatório final com informações sobre a consecução dos objetivos que tenham justificado a contratação e eventuais condutas a serem adotadas para o aprimoramento das atividades da Administração. (Decreto nº 11.246, de 2022, art. 21, VI).</w:t>
      </w:r>
    </w:p>
    <w:p w:rsidR="002174CE" w:rsidRPr="00C17148" w:rsidRDefault="002174CE" w:rsidP="002174CE">
      <w:pPr>
        <w:ind w:firstLine="360"/>
        <w:jc w:val="both"/>
        <w:rPr>
          <w:rFonts w:ascii="Bookman Old Style" w:hAnsi="Bookman Old Style"/>
          <w:iCs/>
          <w:sz w:val="20"/>
          <w:szCs w:val="20"/>
        </w:rPr>
      </w:pPr>
    </w:p>
    <w:p w:rsidR="002174CE" w:rsidRPr="00C17148" w:rsidRDefault="002174CE" w:rsidP="002174CE">
      <w:pPr>
        <w:pStyle w:val="PargrafodaLista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C17148">
        <w:rPr>
          <w:rFonts w:ascii="Bookman Old Style" w:hAnsi="Bookman Old Style"/>
          <w:b/>
          <w:sz w:val="20"/>
          <w:szCs w:val="20"/>
        </w:rPr>
        <w:t xml:space="preserve">FISCAL: </w:t>
      </w:r>
      <w:r w:rsidR="00621455" w:rsidRPr="00C17148">
        <w:rPr>
          <w:rFonts w:ascii="Bookman Old Style" w:hAnsi="Bookman Old Style"/>
          <w:b/>
          <w:sz w:val="20"/>
          <w:szCs w:val="20"/>
        </w:rPr>
        <w:t>MATEUS</w:t>
      </w:r>
      <w:r w:rsidRPr="00C17148">
        <w:rPr>
          <w:rFonts w:ascii="Bookman Old Style" w:hAnsi="Bookman Old Style"/>
          <w:b/>
          <w:sz w:val="20"/>
          <w:szCs w:val="20"/>
        </w:rPr>
        <w:t xml:space="preserve"> </w:t>
      </w:r>
      <w:r w:rsidR="00621455" w:rsidRPr="00C17148">
        <w:rPr>
          <w:rFonts w:ascii="Bookman Old Style" w:hAnsi="Bookman Old Style"/>
          <w:b/>
          <w:sz w:val="20"/>
          <w:szCs w:val="20"/>
        </w:rPr>
        <w:t>MILANI KUHN</w:t>
      </w:r>
    </w:p>
    <w:p w:rsidR="002174CE" w:rsidRDefault="002174CE" w:rsidP="002174CE">
      <w:pPr>
        <w:pStyle w:val="PargrafodaLista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C17148">
        <w:rPr>
          <w:rFonts w:ascii="Bookman Old Style" w:hAnsi="Bookman Old Style"/>
          <w:b/>
          <w:sz w:val="20"/>
          <w:szCs w:val="20"/>
        </w:rPr>
        <w:t xml:space="preserve">GESTOR: </w:t>
      </w:r>
      <w:r w:rsidR="00621455" w:rsidRPr="00C17148">
        <w:rPr>
          <w:rFonts w:ascii="Bookman Old Style" w:hAnsi="Bookman Old Style"/>
          <w:b/>
          <w:sz w:val="20"/>
          <w:szCs w:val="20"/>
        </w:rPr>
        <w:t>CAMILA REGINA RODRIGUES</w:t>
      </w:r>
      <w:r w:rsidRPr="00C17148">
        <w:rPr>
          <w:rFonts w:ascii="Bookman Old Style" w:hAnsi="Bookman Old Style"/>
          <w:b/>
          <w:sz w:val="20"/>
          <w:szCs w:val="20"/>
        </w:rPr>
        <w:t xml:space="preserve"> </w:t>
      </w:r>
    </w:p>
    <w:p w:rsidR="00F97223" w:rsidRPr="00F97223" w:rsidRDefault="00F97223" w:rsidP="002174CE">
      <w:pPr>
        <w:pStyle w:val="PargrafodaLista"/>
        <w:ind w:left="0"/>
        <w:jc w:val="both"/>
        <w:rPr>
          <w:rFonts w:ascii="Bookman Old Style" w:hAnsi="Bookman Old Style"/>
          <w:b/>
          <w:sz w:val="20"/>
          <w:szCs w:val="20"/>
        </w:rPr>
      </w:pPr>
    </w:p>
    <w:p w:rsidR="002174CE" w:rsidRPr="00C17148" w:rsidRDefault="002174CE" w:rsidP="002174CE">
      <w:pPr>
        <w:pStyle w:val="Nivel01"/>
        <w:numPr>
          <w:ilvl w:val="0"/>
          <w:numId w:val="3"/>
        </w:numPr>
        <w:tabs>
          <w:tab w:val="left" w:pos="87"/>
        </w:tabs>
        <w:spacing w:before="0"/>
        <w:ind w:left="0" w:firstLine="0"/>
        <w:rPr>
          <w:rFonts w:ascii="Bookman Old Style" w:hAnsi="Bookman Old Style"/>
          <w:bCs w:val="0"/>
          <w:lang w:eastAsia="en-US"/>
        </w:rPr>
      </w:pPr>
      <w:r w:rsidRPr="00C17148">
        <w:rPr>
          <w:rFonts w:ascii="Bookman Old Style" w:hAnsi="Bookman Old Style"/>
        </w:rPr>
        <w:t>CRITÉRIOS DE MEDIÇÃO E DE PAGAMENTO</w:t>
      </w:r>
      <w:r w:rsidRPr="00C17148">
        <w:rPr>
          <w:rFonts w:ascii="Bookman Old Style" w:hAnsi="Bookman Old Style"/>
          <w:b w:val="0"/>
        </w:rPr>
        <w:t xml:space="preserve"> </w:t>
      </w:r>
      <w:r w:rsidRPr="00C17148">
        <w:rPr>
          <w:rFonts w:ascii="Bookman Old Style" w:hAnsi="Bookman Old Style"/>
          <w:bCs w:val="0"/>
          <w:lang w:eastAsia="en-US"/>
        </w:rPr>
        <w:t>(Art. 6º, inciso XXIII, alínea ‘g’, da Lei nº 14.133/2021).</w:t>
      </w:r>
    </w:p>
    <w:p w:rsidR="002174CE" w:rsidRPr="00C17148" w:rsidRDefault="002174CE" w:rsidP="002174CE">
      <w:pPr>
        <w:widowControl w:val="0"/>
        <w:suppressAutoHyphens/>
        <w:contextualSpacing/>
        <w:jc w:val="both"/>
        <w:rPr>
          <w:rFonts w:ascii="Bookman Old Style" w:hAnsi="Bookman Old Style" w:cs="Cambria"/>
          <w:b/>
          <w:sz w:val="20"/>
          <w:szCs w:val="20"/>
          <w:lang w:eastAsia="en-US"/>
        </w:rPr>
      </w:pPr>
    </w:p>
    <w:p w:rsidR="002174CE" w:rsidRPr="00C17148" w:rsidRDefault="002174CE" w:rsidP="002174CE">
      <w:pPr>
        <w:pStyle w:val="PargrafodaLista"/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Bookman Old Style" w:hAnsi="Bookman Old Style" w:cs="Cambria"/>
          <w:b/>
          <w:sz w:val="20"/>
          <w:szCs w:val="20"/>
        </w:rPr>
      </w:pPr>
      <w:r w:rsidRPr="00C17148">
        <w:rPr>
          <w:rFonts w:ascii="Bookman Old Style" w:hAnsi="Bookman Old Style" w:cs="Cambria"/>
          <w:b/>
          <w:sz w:val="20"/>
          <w:szCs w:val="20"/>
          <w:lang w:eastAsia="en-US"/>
        </w:rPr>
        <w:t>Prazo de pagamento</w:t>
      </w:r>
    </w:p>
    <w:p w:rsidR="002174CE" w:rsidRPr="00C17148" w:rsidRDefault="002174CE" w:rsidP="002174CE">
      <w:pPr>
        <w:widowControl w:val="0"/>
        <w:suppressAutoHyphens/>
        <w:ind w:firstLine="709"/>
        <w:jc w:val="both"/>
        <w:rPr>
          <w:rFonts w:ascii="Bookman Old Style" w:hAnsi="Bookman Old Style" w:cs="Cambria"/>
          <w:sz w:val="20"/>
          <w:szCs w:val="20"/>
        </w:rPr>
      </w:pPr>
      <w:r w:rsidRPr="00C17148">
        <w:rPr>
          <w:rFonts w:ascii="Bookman Old Style" w:hAnsi="Bookman Old Style" w:cs="Cambria"/>
          <w:sz w:val="20"/>
          <w:szCs w:val="20"/>
        </w:rPr>
        <w:t>O pagamento será efetuado no prazo de até 30 (trinta) dias úteis contados da finalização da liquidação da despesa.</w:t>
      </w:r>
      <w:r w:rsidRPr="00C17148">
        <w:rPr>
          <w:rFonts w:ascii="Bookman Old Style" w:hAnsi="Bookman Old Style" w:cs="Cambria"/>
          <w:sz w:val="20"/>
          <w:szCs w:val="20"/>
          <w:lang w:eastAsia="en-US"/>
        </w:rPr>
        <w:t xml:space="preserve"> </w:t>
      </w:r>
    </w:p>
    <w:p w:rsidR="002174CE" w:rsidRPr="00C17148" w:rsidRDefault="002174CE" w:rsidP="002174CE">
      <w:pPr>
        <w:widowControl w:val="0"/>
        <w:suppressAutoHyphens/>
        <w:ind w:firstLine="709"/>
        <w:jc w:val="both"/>
        <w:rPr>
          <w:rFonts w:ascii="Bookman Old Style" w:hAnsi="Bookman Old Style" w:cs="Cambria"/>
          <w:sz w:val="20"/>
          <w:szCs w:val="20"/>
        </w:rPr>
      </w:pPr>
      <w:r w:rsidRPr="00C17148">
        <w:rPr>
          <w:rFonts w:ascii="Bookman Old Style" w:hAnsi="Bookman Old Style" w:cs="Cambria"/>
          <w:sz w:val="20"/>
          <w:szCs w:val="20"/>
          <w:lang w:eastAsia="en-US"/>
        </w:rPr>
        <w:t>O pagamento será realizado por meio de ordem bancária, para crédito em banco, agência e conta corrente indicados pelo contratado.</w:t>
      </w:r>
    </w:p>
    <w:p w:rsidR="002174CE" w:rsidRPr="00C17148" w:rsidRDefault="002174CE" w:rsidP="002174CE">
      <w:pPr>
        <w:widowControl w:val="0"/>
        <w:suppressAutoHyphens/>
        <w:ind w:firstLine="709"/>
        <w:jc w:val="both"/>
        <w:rPr>
          <w:rFonts w:ascii="Bookman Old Style" w:hAnsi="Bookman Old Style" w:cs="Cambria"/>
          <w:sz w:val="20"/>
          <w:szCs w:val="20"/>
        </w:rPr>
      </w:pPr>
      <w:r w:rsidRPr="00C17148">
        <w:rPr>
          <w:rFonts w:ascii="Bookman Old Style" w:hAnsi="Bookman Old Style" w:cs="Cambria"/>
          <w:sz w:val="20"/>
          <w:szCs w:val="20"/>
          <w:lang w:eastAsia="en-US"/>
        </w:rPr>
        <w:t>Será considerada data do pagamento o dia em que constar como emitida a ordem bancária para pagamento.</w:t>
      </w:r>
    </w:p>
    <w:p w:rsidR="002174CE" w:rsidRPr="00C17148" w:rsidRDefault="002174CE" w:rsidP="002174CE">
      <w:pPr>
        <w:widowControl w:val="0"/>
        <w:suppressAutoHyphens/>
        <w:ind w:firstLine="709"/>
        <w:jc w:val="both"/>
        <w:rPr>
          <w:rFonts w:ascii="Bookman Old Style" w:hAnsi="Bookman Old Style" w:cs="Cambria"/>
          <w:sz w:val="20"/>
          <w:szCs w:val="20"/>
        </w:rPr>
      </w:pPr>
      <w:r w:rsidRPr="00C17148">
        <w:rPr>
          <w:rFonts w:ascii="Bookman Old Style" w:hAnsi="Bookman Old Style" w:cs="Cambria"/>
          <w:sz w:val="20"/>
          <w:szCs w:val="20"/>
          <w:lang w:eastAsia="en-US"/>
        </w:rPr>
        <w:t>Quando do pagamento, será efetuada a retenção tributária prevista na legislação aplicável.</w:t>
      </w:r>
    </w:p>
    <w:p w:rsidR="002174CE" w:rsidRPr="00C17148" w:rsidRDefault="002174CE" w:rsidP="002174CE">
      <w:pPr>
        <w:widowControl w:val="0"/>
        <w:suppressAutoHyphens/>
        <w:ind w:firstLine="709"/>
        <w:jc w:val="both"/>
        <w:rPr>
          <w:rFonts w:ascii="Bookman Old Style" w:hAnsi="Bookman Old Style" w:cs="Cambria"/>
          <w:sz w:val="20"/>
          <w:szCs w:val="20"/>
          <w:lang w:eastAsia="en-US"/>
        </w:rPr>
      </w:pPr>
      <w:r w:rsidRPr="00C17148">
        <w:rPr>
          <w:rFonts w:ascii="Bookman Old Style" w:hAnsi="Bookman Old Style" w:cs="Cambria"/>
          <w:sz w:val="20"/>
          <w:szCs w:val="20"/>
          <w:lang w:eastAsia="en-US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2174CE" w:rsidRPr="00C17148" w:rsidRDefault="002174CE" w:rsidP="002174CE">
      <w:pPr>
        <w:widowControl w:val="0"/>
        <w:suppressAutoHyphens/>
        <w:ind w:firstLine="709"/>
        <w:jc w:val="both"/>
        <w:rPr>
          <w:rFonts w:ascii="Bookman Old Style" w:hAnsi="Bookman Old Style" w:cs="Cambria"/>
          <w:sz w:val="20"/>
          <w:szCs w:val="20"/>
        </w:rPr>
      </w:pPr>
    </w:p>
    <w:p w:rsidR="002174CE" w:rsidRPr="00C17148" w:rsidRDefault="002174CE" w:rsidP="002174CE">
      <w:pPr>
        <w:pStyle w:val="Nivel2"/>
        <w:numPr>
          <w:ilvl w:val="0"/>
          <w:numId w:val="4"/>
        </w:numPr>
        <w:spacing w:before="0" w:after="0" w:line="240" w:lineRule="auto"/>
        <w:rPr>
          <w:rFonts w:ascii="Bookman Old Style" w:hAnsi="Bookman Old Style"/>
          <w:b/>
          <w:color w:val="auto"/>
          <w:lang w:eastAsia="en-US"/>
        </w:rPr>
      </w:pPr>
      <w:r w:rsidRPr="00C17148">
        <w:rPr>
          <w:rFonts w:ascii="Bookman Old Style" w:hAnsi="Bookman Old Style"/>
          <w:b/>
          <w:color w:val="auto"/>
        </w:rPr>
        <w:t xml:space="preserve">FORMA E CRITÉRIOS DE SELEÇÃO DO FORNECEDOR </w:t>
      </w:r>
      <w:r w:rsidRPr="00C17148">
        <w:rPr>
          <w:rFonts w:ascii="Bookman Old Style" w:hAnsi="Bookman Old Style"/>
          <w:bCs/>
          <w:color w:val="auto"/>
          <w:lang w:eastAsia="en-US"/>
        </w:rPr>
        <w:t>(</w:t>
      </w:r>
      <w:r w:rsidRPr="00C17148">
        <w:rPr>
          <w:rFonts w:ascii="Bookman Old Style" w:hAnsi="Bookman Old Style"/>
          <w:b/>
          <w:bCs/>
          <w:color w:val="auto"/>
          <w:lang w:eastAsia="en-US"/>
        </w:rPr>
        <w:t>Art. 6º, inciso XXIII, alínea ‘h’, da Lei nº 14.133/2021).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spacing w:before="0" w:after="0" w:line="240" w:lineRule="auto"/>
        <w:ind w:left="390"/>
        <w:rPr>
          <w:rFonts w:ascii="Bookman Old Style" w:hAnsi="Bookman Old Style"/>
          <w:b/>
          <w:color w:val="auto"/>
          <w:lang w:eastAsia="en-US"/>
        </w:rPr>
      </w:pPr>
    </w:p>
    <w:p w:rsidR="00045452" w:rsidRPr="00C17148" w:rsidRDefault="002174CE" w:rsidP="002174CE">
      <w:pPr>
        <w:pStyle w:val="Nivel2"/>
        <w:numPr>
          <w:ilvl w:val="0"/>
          <w:numId w:val="0"/>
        </w:numPr>
        <w:spacing w:before="0" w:after="0" w:line="240" w:lineRule="auto"/>
        <w:ind w:firstLine="708"/>
        <w:rPr>
          <w:rFonts w:ascii="Bookman Old Style" w:hAnsi="Bookman Old Style"/>
          <w:color w:val="auto"/>
        </w:rPr>
      </w:pPr>
      <w:r w:rsidRPr="00C17148">
        <w:rPr>
          <w:rFonts w:ascii="Bookman Old Style" w:hAnsi="Bookman Old Style"/>
          <w:color w:val="auto"/>
        </w:rPr>
        <w:t>Com os preços estimados e considerando aspectos de economicidade e eficácia, bem como o enquadramento na legislação vi</w:t>
      </w:r>
      <w:r w:rsidR="00045452" w:rsidRPr="00C17148">
        <w:rPr>
          <w:rFonts w:ascii="Bookman Old Style" w:hAnsi="Bookman Old Style"/>
          <w:color w:val="auto"/>
        </w:rPr>
        <w:t>gente</w:t>
      </w:r>
      <w:r w:rsidR="007C177D" w:rsidRPr="00C17148">
        <w:rPr>
          <w:rFonts w:ascii="Bookman Old Style" w:hAnsi="Bookman Old Style"/>
          <w:color w:val="auto"/>
        </w:rPr>
        <w:t>,</w:t>
      </w:r>
      <w:r w:rsidR="00045452" w:rsidRPr="00C17148">
        <w:rPr>
          <w:rFonts w:ascii="Bookman Old Style" w:hAnsi="Bookman Old Style"/>
          <w:color w:val="auto"/>
        </w:rPr>
        <w:t xml:space="preserve"> a </w:t>
      </w:r>
      <w:r w:rsidR="00045452" w:rsidRPr="00C17148">
        <w:rPr>
          <w:rFonts w:ascii="Bookman Old Style" w:hAnsi="Bookman Old Style"/>
          <w:b/>
          <w:color w:val="auto"/>
        </w:rPr>
        <w:t>DISPENSA</w:t>
      </w:r>
      <w:r w:rsidR="00045452" w:rsidRPr="00C17148">
        <w:rPr>
          <w:rFonts w:ascii="Bookman Old Style" w:hAnsi="Bookman Old Style"/>
          <w:color w:val="auto"/>
        </w:rPr>
        <w:t xml:space="preserve"> foi considerada</w:t>
      </w:r>
      <w:r w:rsidRPr="00C17148">
        <w:rPr>
          <w:rFonts w:ascii="Bookman Old Style" w:hAnsi="Bookman Old Style"/>
          <w:color w:val="auto"/>
        </w:rPr>
        <w:t xml:space="preserve"> a modalidade técnica e economicamente viável que possibilita a aquisição dos itens descrit</w:t>
      </w:r>
      <w:r w:rsidR="00045452" w:rsidRPr="00C17148">
        <w:rPr>
          <w:rFonts w:ascii="Bookman Old Style" w:hAnsi="Bookman Old Style"/>
          <w:color w:val="auto"/>
        </w:rPr>
        <w:t>os neste termo.</w:t>
      </w:r>
      <w:r w:rsidRPr="00C17148">
        <w:rPr>
          <w:rFonts w:ascii="Bookman Old Style" w:hAnsi="Bookman Old Style"/>
          <w:color w:val="auto"/>
        </w:rPr>
        <w:t xml:space="preserve"> </w:t>
      </w:r>
    </w:p>
    <w:p w:rsidR="002174CE" w:rsidRPr="00C17148" w:rsidRDefault="00045452" w:rsidP="002174CE">
      <w:pPr>
        <w:pStyle w:val="Nivel2"/>
        <w:numPr>
          <w:ilvl w:val="0"/>
          <w:numId w:val="0"/>
        </w:numPr>
        <w:spacing w:before="0" w:after="0" w:line="240" w:lineRule="auto"/>
        <w:ind w:firstLine="708"/>
        <w:rPr>
          <w:rFonts w:ascii="Bookman Old Style" w:hAnsi="Bookman Old Style"/>
          <w:b/>
          <w:color w:val="auto"/>
          <w:lang w:eastAsia="en-US"/>
        </w:rPr>
      </w:pPr>
      <w:r w:rsidRPr="00C17148">
        <w:rPr>
          <w:rFonts w:ascii="Bookman Old Style" w:hAnsi="Bookman Old Style"/>
          <w:color w:val="auto"/>
        </w:rPr>
        <w:t>A compra de re</w:t>
      </w:r>
      <w:r w:rsidRPr="00C17148">
        <w:rPr>
          <w:rFonts w:ascii="Bookman Old Style" w:hAnsi="Bookman Old Style"/>
          <w:bCs/>
          <w:color w:val="auto"/>
        </w:rPr>
        <w:t>médios</w:t>
      </w:r>
      <w:r w:rsidRPr="00C17148">
        <w:rPr>
          <w:rFonts w:ascii="Bookman Old Style" w:hAnsi="Bookman Old Style"/>
          <w:color w:val="auto"/>
        </w:rPr>
        <w:t xml:space="preserve"> devido à Epidemia de Dengue, conforme estipulado pelo Decreto Municipal nº 4.103/2024, encontra respaldo legal no inciso VIII da Lei 14.133/2021. Este trecho da lei permite a aquisição em casos de emergência ou calamidade pública, quando há urgência em resolver situações que possam causar danos ou comprometer a continuidade dos serviços públicos ou a segurança de pessoas, obras, serviços, equipamentos e outros bens, tanto públicos quanto privados. Esse dispositivo autoriza exclusivamente a aquisição dos bens necessários para lidar com a situação emergencial ou calamitosa em questão.</w:t>
      </w:r>
    </w:p>
    <w:p w:rsidR="002174CE" w:rsidRPr="009A0586" w:rsidRDefault="002174CE" w:rsidP="002174CE">
      <w:pPr>
        <w:widowControl w:val="0"/>
        <w:tabs>
          <w:tab w:val="left" w:pos="3345"/>
        </w:tabs>
        <w:suppressAutoHyphens/>
        <w:jc w:val="both"/>
        <w:rPr>
          <w:rFonts w:ascii="Bookman Old Style" w:hAnsi="Bookman Old Style" w:cs="Arial"/>
          <w:b/>
          <w:sz w:val="20"/>
          <w:szCs w:val="20"/>
          <w:shd w:val="clear" w:color="auto" w:fill="FFFFFF"/>
        </w:rPr>
      </w:pPr>
      <w:r w:rsidRPr="00C17148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     Será definido o critério de </w:t>
      </w:r>
      <w:r w:rsidRPr="00C17148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MENOR PREÇO</w:t>
      </w:r>
      <w:r w:rsidR="007C177D" w:rsidRPr="00C17148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 POR ITEM</w:t>
      </w:r>
      <w:r w:rsidRPr="00C17148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 </w:t>
      </w:r>
      <w:r w:rsidRPr="00C17148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na modalidade de </w:t>
      </w:r>
      <w:r w:rsidRPr="00C17148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DISPENSA da Lei 14.133/2021.</w:t>
      </w:r>
    </w:p>
    <w:p w:rsidR="002174CE" w:rsidRPr="00C17148" w:rsidRDefault="002174CE" w:rsidP="002174CE">
      <w:pPr>
        <w:pStyle w:val="PargrafodaLista"/>
        <w:ind w:left="22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2174CE" w:rsidRPr="00C17148" w:rsidRDefault="002174CE" w:rsidP="002174CE">
      <w:pPr>
        <w:pStyle w:val="PargrafodaLista"/>
        <w:numPr>
          <w:ilvl w:val="0"/>
          <w:numId w:val="4"/>
        </w:numPr>
        <w:ind w:left="37" w:hanging="37"/>
        <w:jc w:val="both"/>
        <w:rPr>
          <w:rFonts w:ascii="Bookman Old Style" w:eastAsia="Arial" w:hAnsi="Bookman Old Style" w:cs="Arial"/>
          <w:b/>
          <w:iCs/>
          <w:sz w:val="20"/>
          <w:szCs w:val="20"/>
        </w:rPr>
      </w:pPr>
      <w:r w:rsidRPr="00C17148">
        <w:rPr>
          <w:rFonts w:ascii="Bookman Old Style" w:hAnsi="Bookman Old Style" w:cs="Arial"/>
          <w:b/>
          <w:bCs/>
          <w:sz w:val="20"/>
          <w:szCs w:val="20"/>
        </w:rPr>
        <w:t xml:space="preserve">ESTIMATIVAS DO VALOR DA CONTRATAÇÃO, ACOMPANHADAS DOS PREÇOS UNITÁRIOS REFERENCIAIS, DAS MEMÓRIAS DE CÁLCULO E DOS DOCUMENTOS QUE LHE DÃO SUPORTE, COM OS PARÂMETROS UTILIZADOS PARA A OBTENÇÃO DOS PREÇOS E PARA OS RESPECTIVOS CÁLCULOS. </w:t>
      </w:r>
      <w:r w:rsidRPr="00C17148">
        <w:rPr>
          <w:rFonts w:ascii="Bookman Old Style" w:hAnsi="Bookman Old Style" w:cs="Arial"/>
          <w:bCs/>
          <w:sz w:val="20"/>
          <w:szCs w:val="20"/>
          <w:lang w:eastAsia="en-US"/>
        </w:rPr>
        <w:t>(</w:t>
      </w:r>
      <w:r w:rsidRPr="00C17148">
        <w:rPr>
          <w:rFonts w:ascii="Bookman Old Style" w:hAnsi="Bookman Old Style" w:cs="Arial"/>
          <w:b/>
          <w:bCs/>
          <w:sz w:val="20"/>
          <w:szCs w:val="20"/>
          <w:lang w:eastAsia="en-US"/>
        </w:rPr>
        <w:t>Art. 6º, inciso XXIII, alínea ‘i’, da Lei nº 14.133/2021).</w:t>
      </w:r>
    </w:p>
    <w:p w:rsidR="002174CE" w:rsidRPr="00C17148" w:rsidRDefault="002174CE" w:rsidP="002174CE">
      <w:pPr>
        <w:pStyle w:val="PargrafodaLista"/>
        <w:ind w:left="0" w:firstLine="708"/>
        <w:jc w:val="both"/>
        <w:rPr>
          <w:rFonts w:ascii="Bookman Old Style" w:hAnsi="Bookman Old Style" w:cs="Arial"/>
          <w:sz w:val="20"/>
          <w:szCs w:val="20"/>
        </w:rPr>
      </w:pPr>
      <w:r w:rsidRPr="00C17148">
        <w:rPr>
          <w:rFonts w:ascii="Bookman Old Style" w:hAnsi="Bookman Old Style"/>
          <w:sz w:val="20"/>
          <w:szCs w:val="20"/>
        </w:rPr>
        <w:tab/>
        <w:t>Os valores estimados foram obtidos através do Banco de Preço</w:t>
      </w:r>
      <w:r w:rsidR="00C17148" w:rsidRPr="00C17148">
        <w:rPr>
          <w:rFonts w:ascii="Bookman Old Style" w:hAnsi="Bookman Old Style"/>
          <w:sz w:val="20"/>
          <w:szCs w:val="20"/>
        </w:rPr>
        <w:t xml:space="preserve"> e orçamento de fornecedores,</w:t>
      </w:r>
      <w:r w:rsidRPr="00C17148">
        <w:rPr>
          <w:rFonts w:ascii="Bookman Old Style" w:hAnsi="Bookman Old Style"/>
          <w:sz w:val="20"/>
          <w:szCs w:val="20"/>
        </w:rPr>
        <w:t xml:space="preserve"> sendo que o valor médio total da aquisição, no importe de </w:t>
      </w:r>
      <w:r w:rsidRPr="00C17148">
        <w:rPr>
          <w:rFonts w:ascii="Bookman Old Style" w:hAnsi="Bookman Old Style"/>
          <w:b/>
          <w:sz w:val="20"/>
          <w:szCs w:val="20"/>
        </w:rPr>
        <w:t xml:space="preserve">R$ </w:t>
      </w:r>
      <w:r w:rsidR="009A0586" w:rsidRPr="009A0586">
        <w:rPr>
          <w:rFonts w:ascii="Bookman Old Style" w:hAnsi="Bookman Old Style" w:cs="Arial"/>
          <w:b/>
          <w:sz w:val="20"/>
          <w:szCs w:val="20"/>
        </w:rPr>
        <w:t>148.179,00 (Cento e Quarenta e Oito Mil e Cento e Setenta e Nove Reais)</w:t>
      </w:r>
      <w:r w:rsidRPr="00C17148">
        <w:rPr>
          <w:rFonts w:ascii="Bookman Old Style" w:hAnsi="Bookman Old Style" w:cs="Arial"/>
          <w:b/>
          <w:sz w:val="20"/>
          <w:szCs w:val="20"/>
        </w:rPr>
        <w:t>,</w:t>
      </w:r>
      <w:r w:rsidRPr="00C17148">
        <w:rPr>
          <w:rFonts w:ascii="Bookman Old Style" w:hAnsi="Bookman Old Style"/>
          <w:sz w:val="20"/>
          <w:szCs w:val="20"/>
        </w:rPr>
        <w:t xml:space="preserve"> conforme a pesq</w:t>
      </w:r>
      <w:r w:rsidR="00C17148" w:rsidRPr="00C17148">
        <w:rPr>
          <w:rFonts w:ascii="Bookman Old Style" w:hAnsi="Bookman Old Style"/>
          <w:sz w:val="20"/>
          <w:szCs w:val="20"/>
        </w:rPr>
        <w:t>uisa realizada</w:t>
      </w:r>
      <w:r w:rsidRPr="00C17148">
        <w:rPr>
          <w:rFonts w:ascii="Bookman Old Style" w:hAnsi="Bookman Old Style"/>
          <w:sz w:val="20"/>
          <w:szCs w:val="20"/>
        </w:rPr>
        <w:t>.</w:t>
      </w:r>
    </w:p>
    <w:p w:rsidR="002174CE" w:rsidRPr="00C17148" w:rsidRDefault="002174CE" w:rsidP="002174CE">
      <w:pPr>
        <w:pStyle w:val="Nivel2"/>
        <w:numPr>
          <w:ilvl w:val="0"/>
          <w:numId w:val="0"/>
        </w:numPr>
        <w:tabs>
          <w:tab w:val="left" w:pos="0"/>
        </w:tabs>
        <w:spacing w:before="0" w:after="0" w:line="240" w:lineRule="auto"/>
        <w:rPr>
          <w:rFonts w:ascii="Bookman Old Style" w:hAnsi="Bookman Old Style" w:cs="Cambria"/>
          <w:color w:val="auto"/>
        </w:rPr>
      </w:pPr>
      <w:r w:rsidRPr="00C17148">
        <w:rPr>
          <w:rFonts w:ascii="Bookman Old Style" w:hAnsi="Bookman Old Style"/>
          <w:color w:val="auto"/>
        </w:rPr>
        <w:tab/>
        <w:t>No preço ofertado deverão estar inclusas todas as despesas, bem como todos os tributos, fretes, seguros e demais encargos necessários à completa execução do objeto.</w:t>
      </w:r>
    </w:p>
    <w:p w:rsidR="002174CE" w:rsidRPr="00C17148" w:rsidRDefault="002174CE" w:rsidP="002174CE">
      <w:pPr>
        <w:pStyle w:val="PargrafodaLista"/>
        <w:ind w:left="22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2174CE" w:rsidRPr="00C17148" w:rsidRDefault="002174CE" w:rsidP="002174CE">
      <w:pPr>
        <w:pStyle w:val="PargrafodaLista"/>
        <w:numPr>
          <w:ilvl w:val="0"/>
          <w:numId w:val="4"/>
        </w:numPr>
        <w:jc w:val="both"/>
        <w:rPr>
          <w:rFonts w:ascii="Bookman Old Style" w:eastAsia="Arial" w:hAnsi="Bookman Old Style" w:cs="Arial"/>
          <w:b/>
          <w:iCs/>
          <w:sz w:val="20"/>
          <w:szCs w:val="20"/>
        </w:rPr>
      </w:pPr>
      <w:r w:rsidRPr="00C17148">
        <w:rPr>
          <w:rFonts w:ascii="Bookman Old Style" w:hAnsi="Bookman Old Style" w:cs="Arial"/>
          <w:b/>
          <w:sz w:val="20"/>
          <w:szCs w:val="20"/>
        </w:rPr>
        <w:t xml:space="preserve">ADEQUAÇÃO ORÇAMENTÁRIA </w:t>
      </w:r>
      <w:r w:rsidRPr="00C17148">
        <w:rPr>
          <w:rFonts w:ascii="Bookman Old Style" w:hAnsi="Bookman Old Style" w:cs="Arial"/>
          <w:bCs/>
          <w:sz w:val="20"/>
          <w:szCs w:val="20"/>
          <w:lang w:eastAsia="en-US"/>
        </w:rPr>
        <w:t>(</w:t>
      </w:r>
      <w:r w:rsidRPr="00C17148">
        <w:rPr>
          <w:rFonts w:ascii="Bookman Old Style" w:hAnsi="Bookman Old Style" w:cs="Arial"/>
          <w:b/>
          <w:bCs/>
          <w:sz w:val="20"/>
          <w:szCs w:val="20"/>
          <w:lang w:eastAsia="en-US"/>
        </w:rPr>
        <w:t>Art. 6º, inciso XXIII, alínea ‘j’, da Lei nº 14.133/2021).</w:t>
      </w:r>
    </w:p>
    <w:p w:rsidR="002174CE" w:rsidRPr="00C17148" w:rsidRDefault="00C17148" w:rsidP="002174CE">
      <w:pPr>
        <w:pStyle w:val="PargrafodaLista"/>
        <w:ind w:left="0"/>
        <w:jc w:val="both"/>
        <w:rPr>
          <w:rFonts w:ascii="Bookman Old Style" w:hAnsi="Bookman Old Style" w:cs="Arial"/>
          <w:sz w:val="20"/>
          <w:szCs w:val="20"/>
        </w:rPr>
      </w:pPr>
      <w:r w:rsidRPr="00C17148">
        <w:rPr>
          <w:rFonts w:ascii="Bookman Old Style" w:hAnsi="Bookman Old Style" w:cs="Arial"/>
          <w:sz w:val="20"/>
          <w:szCs w:val="20"/>
        </w:rPr>
        <w:tab/>
        <w:t>As despesas decorrentes da presente contratação correrão à conta de recursos específicos consignados no Orçamento Geral da União.</w:t>
      </w:r>
    </w:p>
    <w:p w:rsidR="00C17148" w:rsidRDefault="00C17148" w:rsidP="002174CE">
      <w:pPr>
        <w:pStyle w:val="PargrafodaLista"/>
        <w:ind w:left="0"/>
        <w:jc w:val="both"/>
        <w:rPr>
          <w:rFonts w:ascii="Bookman Old Style" w:hAnsi="Bookman Old Style" w:cs="Arial"/>
          <w:b/>
          <w:iCs/>
          <w:sz w:val="20"/>
          <w:szCs w:val="20"/>
        </w:rPr>
      </w:pPr>
    </w:p>
    <w:p w:rsidR="009A0586" w:rsidRPr="00C17148" w:rsidRDefault="009A0586" w:rsidP="002174CE">
      <w:pPr>
        <w:pStyle w:val="PargrafodaLista"/>
        <w:ind w:left="0"/>
        <w:jc w:val="both"/>
        <w:rPr>
          <w:rFonts w:ascii="Bookman Old Style" w:hAnsi="Bookman Old Style" w:cs="Arial"/>
          <w:b/>
          <w:iCs/>
          <w:sz w:val="20"/>
          <w:szCs w:val="20"/>
        </w:rPr>
      </w:pPr>
    </w:p>
    <w:bookmarkEnd w:id="0"/>
    <w:p w:rsidR="009A0586" w:rsidRDefault="00C17148" w:rsidP="00F97223">
      <w:pPr>
        <w:pStyle w:val="Nivel2"/>
        <w:numPr>
          <w:ilvl w:val="0"/>
          <w:numId w:val="0"/>
        </w:numPr>
        <w:spacing w:before="0" w:after="0" w:line="240" w:lineRule="auto"/>
        <w:ind w:left="284" w:firstLine="73"/>
        <w:jc w:val="center"/>
        <w:rPr>
          <w:rFonts w:ascii="Bookman Old Style" w:hAnsi="Bookman Old Style"/>
          <w:iCs/>
          <w:color w:val="auto"/>
        </w:rPr>
      </w:pPr>
      <w:r w:rsidRPr="00C17148">
        <w:rPr>
          <w:rFonts w:ascii="Bookman Old Style" w:hAnsi="Bookman Old Style"/>
          <w:iCs/>
          <w:color w:val="auto"/>
        </w:rPr>
        <w:t>Santo Antonio do Sudoeste, 15 de março de 2024.</w:t>
      </w:r>
    </w:p>
    <w:p w:rsidR="009A0586" w:rsidRDefault="009A0586" w:rsidP="002174CE">
      <w:pPr>
        <w:pStyle w:val="Nivel2"/>
        <w:numPr>
          <w:ilvl w:val="0"/>
          <w:numId w:val="0"/>
        </w:numPr>
        <w:spacing w:before="0" w:after="0" w:line="240" w:lineRule="auto"/>
        <w:ind w:left="284" w:firstLine="73"/>
        <w:rPr>
          <w:rFonts w:ascii="Bookman Old Style" w:hAnsi="Bookman Old Style"/>
          <w:iCs/>
          <w:color w:val="auto"/>
        </w:rPr>
      </w:pPr>
    </w:p>
    <w:p w:rsidR="009A0586" w:rsidRDefault="009A0586" w:rsidP="002174CE">
      <w:pPr>
        <w:pStyle w:val="Nivel2"/>
        <w:numPr>
          <w:ilvl w:val="0"/>
          <w:numId w:val="0"/>
        </w:numPr>
        <w:spacing w:before="0" w:after="0" w:line="240" w:lineRule="auto"/>
        <w:ind w:left="284" w:firstLine="73"/>
        <w:rPr>
          <w:rFonts w:ascii="Bookman Old Style" w:hAnsi="Bookman Old Style"/>
          <w:iCs/>
          <w:color w:val="auto"/>
        </w:rPr>
      </w:pPr>
    </w:p>
    <w:p w:rsidR="009A0586" w:rsidRPr="00C17148" w:rsidRDefault="009A0586" w:rsidP="002174CE">
      <w:pPr>
        <w:pStyle w:val="Nivel2"/>
        <w:numPr>
          <w:ilvl w:val="0"/>
          <w:numId w:val="0"/>
        </w:numPr>
        <w:spacing w:before="0" w:after="0" w:line="240" w:lineRule="auto"/>
        <w:ind w:left="284" w:firstLine="73"/>
        <w:rPr>
          <w:rFonts w:ascii="Bookman Old Style" w:hAnsi="Bookman Old Style"/>
          <w:iCs/>
          <w:color w:val="auto"/>
        </w:rPr>
      </w:pPr>
    </w:p>
    <w:p w:rsidR="002174CE" w:rsidRPr="00C17148" w:rsidRDefault="00C17148" w:rsidP="00C17148">
      <w:pPr>
        <w:jc w:val="center"/>
        <w:rPr>
          <w:rFonts w:ascii="Bookman Old Style" w:eastAsia="Arial" w:hAnsi="Bookman Old Style" w:cs="Arial"/>
          <w:sz w:val="20"/>
          <w:szCs w:val="20"/>
        </w:rPr>
      </w:pPr>
      <w:r w:rsidRPr="00C17148">
        <w:rPr>
          <w:rFonts w:ascii="Bookman Old Style" w:eastAsia="Arial" w:hAnsi="Bookman Old Style" w:cs="Arial"/>
          <w:sz w:val="20"/>
          <w:szCs w:val="20"/>
        </w:rPr>
        <w:t>__________________________________________</w:t>
      </w:r>
    </w:p>
    <w:p w:rsidR="00C17148" w:rsidRPr="00C17148" w:rsidRDefault="00C17148" w:rsidP="00C17148">
      <w:pPr>
        <w:jc w:val="center"/>
        <w:rPr>
          <w:rFonts w:ascii="Bookman Old Style" w:eastAsia="Arial" w:hAnsi="Bookman Old Style" w:cs="Arial"/>
          <w:sz w:val="20"/>
          <w:szCs w:val="20"/>
        </w:rPr>
      </w:pPr>
      <w:r w:rsidRPr="00C17148">
        <w:rPr>
          <w:rFonts w:ascii="Bookman Old Style" w:eastAsia="Arial" w:hAnsi="Bookman Old Style" w:cs="Arial"/>
          <w:sz w:val="20"/>
          <w:szCs w:val="20"/>
        </w:rPr>
        <w:t>CAMILA REGINA RODRIGUES</w:t>
      </w:r>
    </w:p>
    <w:p w:rsidR="006B0418" w:rsidRPr="009A0586" w:rsidRDefault="00C17148" w:rsidP="009A0586">
      <w:pPr>
        <w:jc w:val="center"/>
        <w:rPr>
          <w:rFonts w:ascii="Bookman Old Style" w:eastAsia="Arial" w:hAnsi="Bookman Old Style" w:cs="Arial"/>
          <w:sz w:val="20"/>
          <w:szCs w:val="20"/>
        </w:rPr>
      </w:pPr>
      <w:r w:rsidRPr="00C17148">
        <w:rPr>
          <w:rFonts w:ascii="Bookman Old Style" w:eastAsia="Arial" w:hAnsi="Bookman Old Style" w:cs="Arial"/>
          <w:sz w:val="20"/>
          <w:szCs w:val="20"/>
        </w:rPr>
        <w:t>Secretária Municipal de Saúde</w:t>
      </w:r>
    </w:p>
    <w:sectPr w:rsidR="006B0418" w:rsidRPr="009A0586" w:rsidSect="00C17148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1A" w:rsidRDefault="004941E9">
      <w:r>
        <w:separator/>
      </w:r>
    </w:p>
  </w:endnote>
  <w:endnote w:type="continuationSeparator" w:id="0">
    <w:p w:rsidR="000F591A" w:rsidRDefault="0049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7E" w:rsidRDefault="00F53517">
    <w:pPr>
      <w:pStyle w:val="Rodap"/>
    </w:pPr>
  </w:p>
  <w:p w:rsidR="00F7357E" w:rsidRDefault="00F535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1A" w:rsidRDefault="004941E9">
      <w:r>
        <w:separator/>
      </w:r>
    </w:p>
  </w:footnote>
  <w:footnote w:type="continuationSeparator" w:id="0">
    <w:p w:rsidR="000F591A" w:rsidRDefault="0049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C2" w:rsidRDefault="00726F21" w:rsidP="00B501A2">
    <w:pPr>
      <w:jc w:val="center"/>
      <w:rPr>
        <w:rFonts w:ascii="Bookman Old Style" w:hAnsi="Bookman Old Style" w:cs="Arial"/>
        <w:b/>
        <w:szCs w:val="20"/>
      </w:rPr>
    </w:pPr>
    <w:r>
      <w:rPr>
        <w:rFonts w:asciiTheme="minorHAnsi" w:hAnsiTheme="minorHAnsi" w:cs="Times New Roman"/>
        <w:noProof/>
        <w:szCs w:val="3276"/>
      </w:rPr>
      <w:drawing>
        <wp:anchor distT="0" distB="0" distL="114300" distR="114300" simplePos="0" relativeHeight="251659264" behindDoc="0" locked="0" layoutInCell="1" allowOverlap="1" wp14:anchorId="712C7B38" wp14:editId="528003E3">
          <wp:simplePos x="0" y="0"/>
          <wp:positionH relativeFrom="margin">
            <wp:align>left</wp:align>
          </wp:positionH>
          <wp:positionV relativeFrom="paragraph">
            <wp:posOffset>-74295</wp:posOffset>
          </wp:positionV>
          <wp:extent cx="932815" cy="847725"/>
          <wp:effectExtent l="0" t="0" r="635" b="9525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490BC2" w:rsidRDefault="00726F21" w:rsidP="00B501A2">
    <w:pPr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490BC2" w:rsidRDefault="00726F21" w:rsidP="00B501A2">
    <w:pPr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490BC2" w:rsidRDefault="00726F21" w:rsidP="00B501A2">
    <w:pPr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490BC2" w:rsidRDefault="00726F21" w:rsidP="00B501A2">
    <w:pPr>
      <w:ind w:left="20"/>
      <w:jc w:val="center"/>
      <w:rPr>
        <w:rFonts w:ascii="Bookman Old Style" w:hAnsi="Bookman Old Style"/>
        <w:sz w:val="16"/>
      </w:rPr>
    </w:pPr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490BC2" w:rsidRDefault="00F53517" w:rsidP="003C6DB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AB8"/>
    <w:multiLevelType w:val="multilevel"/>
    <w:tmpl w:val="5316F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265DE2"/>
    <w:multiLevelType w:val="multilevel"/>
    <w:tmpl w:val="750EFD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5C100D"/>
    <w:multiLevelType w:val="multilevel"/>
    <w:tmpl w:val="DA4051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Bookman Old Style" w:eastAsiaTheme="majorEastAsia" w:hAnsi="Bookman Old Style" w:cs="Arial"/>
        <w:b/>
      </w:rPr>
    </w:lvl>
    <w:lvl w:ilvl="1">
      <w:start w:val="1"/>
      <w:numFmt w:val="lowerLetter"/>
      <w:pStyle w:val="Nivel2"/>
      <w:lvlText w:val="%2)"/>
      <w:lvlJc w:val="left"/>
      <w:pPr>
        <w:ind w:left="1142" w:hanging="432"/>
      </w:pPr>
      <w:rPr>
        <w:rFonts w:ascii="Arial" w:eastAsiaTheme="minorEastAsia" w:hAnsi="Arial" w:cs="Arial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7404DE"/>
    <w:multiLevelType w:val="multilevel"/>
    <w:tmpl w:val="3238E9A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8530F5"/>
    <w:multiLevelType w:val="hybridMultilevel"/>
    <w:tmpl w:val="64349B12"/>
    <w:lvl w:ilvl="0" w:tplc="E1065E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E"/>
    <w:rsid w:val="00002935"/>
    <w:rsid w:val="00045452"/>
    <w:rsid w:val="00092DF6"/>
    <w:rsid w:val="000F591A"/>
    <w:rsid w:val="00116109"/>
    <w:rsid w:val="00213C81"/>
    <w:rsid w:val="002174CE"/>
    <w:rsid w:val="003C480E"/>
    <w:rsid w:val="004941E9"/>
    <w:rsid w:val="00595E3A"/>
    <w:rsid w:val="00621455"/>
    <w:rsid w:val="006618F3"/>
    <w:rsid w:val="006B0418"/>
    <w:rsid w:val="006B7AE0"/>
    <w:rsid w:val="00722071"/>
    <w:rsid w:val="00726F21"/>
    <w:rsid w:val="007652F9"/>
    <w:rsid w:val="00766E97"/>
    <w:rsid w:val="007C177D"/>
    <w:rsid w:val="009A0586"/>
    <w:rsid w:val="00A420F9"/>
    <w:rsid w:val="00A508F7"/>
    <w:rsid w:val="00AA08E0"/>
    <w:rsid w:val="00AE0511"/>
    <w:rsid w:val="00BE118E"/>
    <w:rsid w:val="00C17148"/>
    <w:rsid w:val="00CF4EE8"/>
    <w:rsid w:val="00D82845"/>
    <w:rsid w:val="00DD4240"/>
    <w:rsid w:val="00EB61BB"/>
    <w:rsid w:val="00F53517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5143E-27CC-4AE8-B679-8A71A0F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74CE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7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174CE"/>
    <w:pPr>
      <w:ind w:left="720"/>
      <w:contextualSpacing/>
    </w:pPr>
  </w:style>
  <w:style w:type="character" w:styleId="Hyperlink">
    <w:name w:val="Hyperlink"/>
    <w:uiPriority w:val="99"/>
    <w:rsid w:val="002174CE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rsid w:val="00217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4CE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17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174CE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2174CE"/>
    <w:pPr>
      <w:numPr>
        <w:numId w:val="1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2174CE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uiPriority w:val="99"/>
    <w:qFormat/>
    <w:rsid w:val="002174C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uiPriority w:val="99"/>
    <w:qFormat/>
    <w:rsid w:val="002174CE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2174CE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2174CE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uiPriority w:val="99"/>
    <w:locked/>
    <w:rsid w:val="002174CE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174CE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uiPriority w:val="99"/>
    <w:rsid w:val="002174CE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74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80E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E3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3846</Words>
  <Characters>20774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LICITACAO-02</dc:creator>
  <cp:keywords/>
  <dc:description/>
  <cp:lastModifiedBy>LICITACAO-02</cp:lastModifiedBy>
  <cp:revision>9</cp:revision>
  <cp:lastPrinted>2024-03-18T13:05:00Z</cp:lastPrinted>
  <dcterms:created xsi:type="dcterms:W3CDTF">2024-03-14T11:50:00Z</dcterms:created>
  <dcterms:modified xsi:type="dcterms:W3CDTF">2024-03-18T15:02:00Z</dcterms:modified>
</cp:coreProperties>
</file>