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33" w:rsidRPr="00BB5A33" w:rsidRDefault="00BB5A33" w:rsidP="00BB5A33">
      <w:pPr>
        <w:pStyle w:val="PADRO"/>
        <w:keepNext w:val="0"/>
        <w:spacing w:before="0" w:after="0" w:line="240" w:lineRule="auto"/>
        <w:ind w:firstLine="0"/>
        <w:jc w:val="center"/>
        <w:rPr>
          <w:rFonts w:ascii="Bookman Old Style" w:hAnsi="Bookman Old Style" w:cs="Times New Roman"/>
          <w:b/>
          <w:bCs/>
          <w:szCs w:val="20"/>
        </w:rPr>
      </w:pPr>
      <w:r w:rsidRPr="00BB5A33">
        <w:rPr>
          <w:rFonts w:ascii="Bookman Old Style" w:hAnsi="Bookman Old Style" w:cs="Times New Roman"/>
          <w:b/>
          <w:bCs/>
          <w:szCs w:val="20"/>
        </w:rPr>
        <w:t>CONTRATO DE FORNECIMENTO DE MERCADORIAS</w:t>
      </w:r>
    </w:p>
    <w:p w:rsidR="00BB5A33" w:rsidRPr="00BB5A33" w:rsidRDefault="00BB5A33" w:rsidP="00BB5A33">
      <w:pPr>
        <w:pStyle w:val="PADRO"/>
        <w:keepNext w:val="0"/>
        <w:spacing w:before="0" w:after="0" w:line="240" w:lineRule="auto"/>
        <w:ind w:firstLine="0"/>
        <w:rPr>
          <w:rFonts w:ascii="Bookman Old Style" w:hAnsi="Bookman Old Style" w:cs="Times New Roman"/>
          <w:b/>
          <w:bCs/>
          <w:szCs w:val="20"/>
        </w:rPr>
      </w:pPr>
    </w:p>
    <w:p w:rsidR="00BB5A33" w:rsidRPr="00BB5A33" w:rsidRDefault="00BB5A33" w:rsidP="00BB5A33">
      <w:pPr>
        <w:ind w:left="3402"/>
        <w:jc w:val="both"/>
        <w:rPr>
          <w:rFonts w:ascii="Bookman Old Style" w:hAnsi="Bookman Old Style" w:cs="Times New Roman"/>
          <w:b/>
          <w:szCs w:val="20"/>
        </w:rPr>
      </w:pPr>
      <w:r w:rsidRPr="00BB5A33">
        <w:rPr>
          <w:rFonts w:ascii="Bookman Old Style" w:eastAsia="Bookman Old Style" w:hAnsi="Bookman Old Style" w:cs="Times New Roman"/>
          <w:szCs w:val="20"/>
        </w:rPr>
        <w:t xml:space="preserve">Contrato de fornecimento de mercadorias nº </w:t>
      </w:r>
      <w:r w:rsidRPr="00BB5A33">
        <w:rPr>
          <w:rFonts w:ascii="Bookman Old Style" w:eastAsia="Bookman Old Style" w:hAnsi="Bookman Old Style" w:cs="Times New Roman"/>
          <w:b/>
          <w:szCs w:val="20"/>
        </w:rPr>
        <w:t>066</w:t>
      </w:r>
      <w:r w:rsidRPr="00BB5A33">
        <w:rPr>
          <w:rFonts w:ascii="Bookman Old Style" w:eastAsia="Bookman Old Style" w:hAnsi="Bookman Old Style" w:cs="Times New Roman"/>
          <w:b/>
          <w:szCs w:val="20"/>
        </w:rPr>
        <w:t>/2024</w:t>
      </w:r>
      <w:r w:rsidRPr="00BB5A33">
        <w:rPr>
          <w:rFonts w:ascii="Bookman Old Style" w:eastAsia="Bookman Old Style" w:hAnsi="Bookman Old Style" w:cs="Times New Roman"/>
          <w:szCs w:val="20"/>
        </w:rPr>
        <w:t xml:space="preserve">, que entre si celebram de um lado o MUNICÍPIO DE SANTO ANTONIO DO SUDOESTE e de outro lado </w:t>
      </w:r>
      <w:r w:rsidRPr="00BB5A33">
        <w:rPr>
          <w:rFonts w:ascii="Bookman Old Style" w:eastAsia="Bookman Old Style" w:hAnsi="Bookman Old Style" w:cs="Times New Roman"/>
          <w:b/>
          <w:szCs w:val="20"/>
          <w:lang w:val="x-none"/>
        </w:rPr>
        <w:t>NILTON ANTONIO JOHANN ME.</w:t>
      </w:r>
    </w:p>
    <w:p w:rsidR="00BB5A33" w:rsidRPr="00BB5A33" w:rsidRDefault="00BB5A33" w:rsidP="00BB5A33">
      <w:pPr>
        <w:spacing w:line="256" w:lineRule="auto"/>
        <w:jc w:val="both"/>
        <w:rPr>
          <w:rFonts w:ascii="Bookman Old Style" w:eastAsia="Calibri" w:hAnsi="Bookman Old Style" w:cs="Times New Roman"/>
          <w:b/>
          <w:bCs/>
          <w:szCs w:val="20"/>
          <w:lang w:eastAsia="en-US"/>
        </w:rPr>
      </w:pPr>
    </w:p>
    <w:p w:rsidR="00BB5A33" w:rsidRPr="00BB5A33" w:rsidRDefault="00BB5A33" w:rsidP="00BB5A33">
      <w:p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Pelo</w:t>
      </w:r>
      <w:r w:rsidRPr="00BB5A33">
        <w:rPr>
          <w:rFonts w:ascii="Bookman Old Style" w:eastAsia="Calibri" w:hAnsi="Bookman Old Style" w:cs="Times New Roman"/>
          <w:spacing w:val="-13"/>
          <w:szCs w:val="20"/>
          <w:lang w:eastAsia="en-US"/>
        </w:rPr>
        <w:t xml:space="preserve"> </w:t>
      </w:r>
      <w:r w:rsidRPr="00BB5A33">
        <w:rPr>
          <w:rFonts w:ascii="Bookman Old Style" w:eastAsia="Calibri" w:hAnsi="Bookman Old Style" w:cs="Times New Roman"/>
          <w:szCs w:val="20"/>
          <w:lang w:eastAsia="en-US"/>
        </w:rPr>
        <w:t>presente</w:t>
      </w:r>
      <w:r w:rsidRPr="00BB5A33">
        <w:rPr>
          <w:rFonts w:ascii="Bookman Old Style" w:eastAsia="Calibri" w:hAnsi="Bookman Old Style" w:cs="Times New Roman"/>
          <w:spacing w:val="-14"/>
          <w:szCs w:val="20"/>
          <w:lang w:eastAsia="en-US"/>
        </w:rPr>
        <w:t xml:space="preserve"> </w:t>
      </w:r>
      <w:r w:rsidRPr="00BB5A33">
        <w:rPr>
          <w:rFonts w:ascii="Bookman Old Style" w:eastAsia="Calibri" w:hAnsi="Bookman Old Style" w:cs="Times New Roman"/>
          <w:szCs w:val="20"/>
          <w:lang w:eastAsia="en-US"/>
        </w:rPr>
        <w:t>instrumento</w:t>
      </w:r>
      <w:r w:rsidRPr="00BB5A33">
        <w:rPr>
          <w:rFonts w:ascii="Bookman Old Style" w:eastAsia="Calibri" w:hAnsi="Bookman Old Style" w:cs="Times New Roman"/>
          <w:spacing w:val="-13"/>
          <w:szCs w:val="20"/>
          <w:lang w:eastAsia="en-US"/>
        </w:rPr>
        <w:t xml:space="preserve"> </w:t>
      </w:r>
      <w:r w:rsidRPr="00BB5A33">
        <w:rPr>
          <w:rFonts w:ascii="Bookman Old Style" w:eastAsia="Calibri" w:hAnsi="Bookman Old Style" w:cs="Times New Roman"/>
          <w:szCs w:val="20"/>
          <w:lang w:eastAsia="en-US"/>
        </w:rPr>
        <w:t>particular</w:t>
      </w:r>
      <w:r w:rsidRPr="00BB5A33">
        <w:rPr>
          <w:rFonts w:ascii="Bookman Old Style" w:eastAsia="Calibri" w:hAnsi="Bookman Old Style" w:cs="Times New Roman"/>
          <w:spacing w:val="-13"/>
          <w:szCs w:val="20"/>
          <w:lang w:eastAsia="en-US"/>
        </w:rPr>
        <w:t xml:space="preserve"> </w:t>
      </w:r>
      <w:r w:rsidRPr="00BB5A33">
        <w:rPr>
          <w:rFonts w:ascii="Bookman Old Style" w:eastAsia="Calibri" w:hAnsi="Bookman Old Style" w:cs="Times New Roman"/>
          <w:szCs w:val="20"/>
          <w:lang w:eastAsia="en-US"/>
        </w:rPr>
        <w:t>que</w:t>
      </w:r>
      <w:r w:rsidRPr="00BB5A33">
        <w:rPr>
          <w:rFonts w:ascii="Bookman Old Style" w:eastAsia="Calibri" w:hAnsi="Bookman Old Style" w:cs="Times New Roman"/>
          <w:spacing w:val="-11"/>
          <w:szCs w:val="20"/>
          <w:lang w:eastAsia="en-US"/>
        </w:rPr>
        <w:t xml:space="preserve"> </w:t>
      </w:r>
      <w:r w:rsidRPr="00BB5A33">
        <w:rPr>
          <w:rFonts w:ascii="Bookman Old Style" w:eastAsia="Calibri" w:hAnsi="Bookman Old Style" w:cs="Times New Roman"/>
          <w:szCs w:val="20"/>
          <w:lang w:eastAsia="en-US"/>
        </w:rPr>
        <w:t>firma</w:t>
      </w:r>
      <w:r w:rsidRPr="00BB5A33">
        <w:rPr>
          <w:rFonts w:ascii="Bookman Old Style" w:eastAsia="Calibri" w:hAnsi="Bookman Old Style" w:cs="Times New Roman"/>
          <w:spacing w:val="-13"/>
          <w:szCs w:val="20"/>
          <w:lang w:eastAsia="en-US"/>
        </w:rPr>
        <w:t xml:space="preserve"> </w:t>
      </w:r>
      <w:r w:rsidRPr="00BB5A33">
        <w:rPr>
          <w:rFonts w:ascii="Bookman Old Style" w:eastAsia="Calibri" w:hAnsi="Bookman Old Style" w:cs="Times New Roman"/>
          <w:szCs w:val="20"/>
          <w:lang w:eastAsia="en-US"/>
        </w:rPr>
        <w:t>de</w:t>
      </w:r>
      <w:r w:rsidRPr="00BB5A33">
        <w:rPr>
          <w:rFonts w:ascii="Bookman Old Style" w:eastAsia="Calibri" w:hAnsi="Bookman Old Style" w:cs="Times New Roman"/>
          <w:spacing w:val="-11"/>
          <w:szCs w:val="20"/>
          <w:lang w:eastAsia="en-US"/>
        </w:rPr>
        <w:t xml:space="preserve"> </w:t>
      </w:r>
      <w:r w:rsidRPr="00BB5A33">
        <w:rPr>
          <w:rFonts w:ascii="Bookman Old Style" w:eastAsia="Calibri" w:hAnsi="Bookman Old Style" w:cs="Times New Roman"/>
          <w:szCs w:val="20"/>
          <w:lang w:eastAsia="en-US"/>
        </w:rPr>
        <w:t>um</w:t>
      </w:r>
      <w:r w:rsidRPr="00BB5A33">
        <w:rPr>
          <w:rFonts w:ascii="Bookman Old Style" w:eastAsia="Calibri" w:hAnsi="Bookman Old Style" w:cs="Times New Roman"/>
          <w:spacing w:val="-15"/>
          <w:szCs w:val="20"/>
          <w:lang w:eastAsia="en-US"/>
        </w:rPr>
        <w:t xml:space="preserve"> </w:t>
      </w:r>
      <w:r w:rsidRPr="00BB5A33">
        <w:rPr>
          <w:rFonts w:ascii="Bookman Old Style" w:eastAsia="Calibri" w:hAnsi="Bookman Old Style" w:cs="Times New Roman"/>
          <w:szCs w:val="20"/>
          <w:lang w:eastAsia="en-US"/>
        </w:rPr>
        <w:t>lado,</w:t>
      </w:r>
      <w:r w:rsidRPr="00BB5A33">
        <w:rPr>
          <w:rFonts w:ascii="Bookman Old Style" w:eastAsia="Calibri" w:hAnsi="Bookman Old Style" w:cs="Times New Roman"/>
          <w:spacing w:val="-14"/>
          <w:szCs w:val="20"/>
          <w:lang w:eastAsia="en-US"/>
        </w:rPr>
        <w:t xml:space="preserve"> </w:t>
      </w:r>
      <w:r w:rsidRPr="00BB5A33">
        <w:rPr>
          <w:rFonts w:ascii="Bookman Old Style" w:eastAsia="Calibri" w:hAnsi="Bookman Old Style" w:cs="Times New Roman"/>
          <w:szCs w:val="20"/>
          <w:lang w:eastAsia="en-US"/>
        </w:rPr>
        <w:t>o</w:t>
      </w:r>
      <w:r w:rsidRPr="00BB5A33">
        <w:rPr>
          <w:rFonts w:ascii="Bookman Old Style" w:eastAsia="Calibri" w:hAnsi="Bookman Old Style" w:cs="Times New Roman"/>
          <w:spacing w:val="-13"/>
          <w:szCs w:val="20"/>
          <w:lang w:eastAsia="en-US"/>
        </w:rPr>
        <w:t xml:space="preserve"> </w:t>
      </w:r>
      <w:r w:rsidRPr="00BB5A33">
        <w:rPr>
          <w:rFonts w:ascii="Bookman Old Style" w:eastAsia="Calibri" w:hAnsi="Bookman Old Style" w:cs="Times New Roman"/>
          <w:szCs w:val="20"/>
          <w:lang w:eastAsia="en-US"/>
        </w:rPr>
        <w:t>MUNICÍPIO</w:t>
      </w:r>
      <w:r w:rsidRPr="00BB5A33">
        <w:rPr>
          <w:rFonts w:ascii="Bookman Old Style" w:eastAsia="Calibri" w:hAnsi="Bookman Old Style" w:cs="Times New Roman"/>
          <w:spacing w:val="-13"/>
          <w:szCs w:val="20"/>
          <w:lang w:eastAsia="en-US"/>
        </w:rPr>
        <w:t xml:space="preserve"> </w:t>
      </w:r>
      <w:r w:rsidRPr="00BB5A33">
        <w:rPr>
          <w:rFonts w:ascii="Bookman Old Style" w:eastAsia="Calibri" w:hAnsi="Bookman Old Style" w:cs="Times New Roman"/>
          <w:szCs w:val="20"/>
          <w:lang w:eastAsia="en-US"/>
        </w:rPr>
        <w:t>DE</w:t>
      </w:r>
      <w:r w:rsidRPr="00BB5A33">
        <w:rPr>
          <w:rFonts w:ascii="Bookman Old Style" w:eastAsia="Calibri" w:hAnsi="Bookman Old Style" w:cs="Times New Roman"/>
          <w:spacing w:val="-13"/>
          <w:szCs w:val="20"/>
          <w:lang w:eastAsia="en-US"/>
        </w:rPr>
        <w:t xml:space="preserve"> </w:t>
      </w:r>
      <w:r w:rsidRPr="00BB5A33">
        <w:rPr>
          <w:rFonts w:ascii="Bookman Old Style" w:eastAsia="Calibri" w:hAnsi="Bookman Old Style" w:cs="Times New Roman"/>
          <w:szCs w:val="20"/>
          <w:lang w:eastAsia="en-US"/>
        </w:rPr>
        <w:t>SANTO ANTONIO DO SUDOESTE,</w:t>
      </w:r>
      <w:r w:rsidRPr="00BB5A33">
        <w:rPr>
          <w:rFonts w:ascii="Bookman Old Style" w:eastAsia="Calibri" w:hAnsi="Bookman Old Style" w:cs="Times New Roman"/>
          <w:spacing w:val="-13"/>
          <w:szCs w:val="20"/>
          <w:lang w:eastAsia="en-US"/>
        </w:rPr>
        <w:t xml:space="preserve"> </w:t>
      </w:r>
      <w:r w:rsidRPr="00BB5A33">
        <w:rPr>
          <w:rFonts w:ascii="Bookman Old Style" w:eastAsia="Calibri" w:hAnsi="Bookman Old Style" w:cs="Times New Roman"/>
          <w:szCs w:val="20"/>
          <w:lang w:eastAsia="en-US"/>
        </w:rPr>
        <w:t>com</w:t>
      </w:r>
      <w:r w:rsidRPr="00BB5A33">
        <w:rPr>
          <w:rFonts w:ascii="Bookman Old Style" w:eastAsia="Calibri" w:hAnsi="Bookman Old Style" w:cs="Times New Roman"/>
          <w:spacing w:val="-14"/>
          <w:szCs w:val="20"/>
          <w:lang w:eastAsia="en-US"/>
        </w:rPr>
        <w:t xml:space="preserve"> </w:t>
      </w:r>
      <w:r w:rsidRPr="00BB5A33">
        <w:rPr>
          <w:rFonts w:ascii="Bookman Old Style" w:eastAsia="Calibri" w:hAnsi="Bookman Old Style" w:cs="Times New Roman"/>
          <w:szCs w:val="20"/>
          <w:lang w:eastAsia="en-US"/>
        </w:rPr>
        <w:t>sede</w:t>
      </w:r>
      <w:r w:rsidRPr="00BB5A33">
        <w:rPr>
          <w:rFonts w:ascii="Bookman Old Style" w:eastAsia="Calibri" w:hAnsi="Bookman Old Style" w:cs="Times New Roman"/>
          <w:spacing w:val="-14"/>
          <w:szCs w:val="20"/>
          <w:lang w:eastAsia="en-US"/>
        </w:rPr>
        <w:t xml:space="preserve"> </w:t>
      </w:r>
      <w:r w:rsidRPr="00BB5A33">
        <w:rPr>
          <w:rFonts w:ascii="Bookman Old Style" w:eastAsia="Calibri" w:hAnsi="Bookman Old Style" w:cs="Times New Roman"/>
          <w:szCs w:val="20"/>
          <w:lang w:eastAsia="en-US"/>
        </w:rPr>
        <w:t>na</w:t>
      </w:r>
      <w:r w:rsidRPr="00BB5A33">
        <w:rPr>
          <w:rFonts w:ascii="Bookman Old Style" w:eastAsia="Calibri" w:hAnsi="Bookman Old Style" w:cs="Times New Roman"/>
          <w:spacing w:val="-11"/>
          <w:szCs w:val="20"/>
          <w:lang w:eastAsia="en-US"/>
        </w:rPr>
        <w:t xml:space="preserve"> </w:t>
      </w:r>
      <w:r w:rsidRPr="00BB5A33">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Sérgio Antonio de Mattos, inscrito no CPF sob o Nº 627.976.979-87 e abaixo assinado, doravante designado CONTRATANTE e de outro a empresa </w:t>
      </w:r>
      <w:r w:rsidRPr="00BB5A33">
        <w:rPr>
          <w:rFonts w:ascii="Bookman Old Style" w:eastAsia="Bookman Old Style" w:hAnsi="Bookman Old Style" w:cs="Times New Roman"/>
          <w:b/>
          <w:szCs w:val="20"/>
          <w:lang w:val="x-none"/>
        </w:rPr>
        <w:t>NILTON ANTONIO JOHANN ME</w:t>
      </w:r>
      <w:r w:rsidRPr="00BB5A33">
        <w:rPr>
          <w:rFonts w:ascii="Bookman Old Style" w:eastAsia="Bookman Old Style" w:hAnsi="Bookman Old Style" w:cs="Times New Roman"/>
          <w:b/>
          <w:szCs w:val="20"/>
        </w:rPr>
        <w:t>,</w:t>
      </w:r>
      <w:r w:rsidRPr="00BB5A33">
        <w:rPr>
          <w:rFonts w:ascii="Bookman Old Style" w:eastAsia="Bookman Old Style" w:hAnsi="Bookman Old Style" w:cs="Times New Roman"/>
          <w:szCs w:val="20"/>
        </w:rPr>
        <w:t xml:space="preserve"> inscrita no CNPJ sob o Nº </w:t>
      </w:r>
      <w:r w:rsidRPr="00BB5A33">
        <w:rPr>
          <w:rFonts w:ascii="Bookman Old Style" w:eastAsia="Bookman Old Style" w:hAnsi="Bookman Old Style" w:cs="Times New Roman"/>
          <w:b/>
          <w:szCs w:val="20"/>
          <w:lang w:val="x-none"/>
        </w:rPr>
        <w:t>04.358.126/0001-93</w:t>
      </w:r>
      <w:r w:rsidRPr="00BB5A33">
        <w:rPr>
          <w:rFonts w:ascii="Bookman Old Style" w:eastAsia="Bookman Old Style" w:hAnsi="Bookman Old Style" w:cs="Times New Roman"/>
          <w:szCs w:val="20"/>
        </w:rPr>
        <w:t xml:space="preserve">, </w:t>
      </w:r>
      <w:r w:rsidRPr="00BB5A33">
        <w:rPr>
          <w:rFonts w:ascii="Bookman Old Style" w:eastAsia="Calibri" w:hAnsi="Bookman Old Style" w:cs="Times New Roman"/>
          <w:szCs w:val="20"/>
          <w:lang w:eastAsia="en-US"/>
        </w:rPr>
        <w:t xml:space="preserve">com sede na cidade de </w:t>
      </w:r>
      <w:r w:rsidRPr="00BB5A33">
        <w:rPr>
          <w:rFonts w:ascii="Bookman Old Style" w:eastAsia="Calibri" w:hAnsi="Bookman Old Style" w:cs="Times New Roman"/>
          <w:szCs w:val="20"/>
          <w:lang w:eastAsia="en-US"/>
        </w:rPr>
        <w:t>SANTO ANTONIO DO SUDOESTE/PR</w:t>
      </w:r>
      <w:r w:rsidRPr="00BB5A33">
        <w:rPr>
          <w:rFonts w:ascii="Bookman Old Style" w:eastAsia="Calibri" w:hAnsi="Bookman Old Style" w:cs="Times New Roman"/>
          <w:szCs w:val="20"/>
          <w:lang w:eastAsia="en-US"/>
        </w:rPr>
        <w:t xml:space="preserve">, doravante designada CONTRATADA, tendo em vista o que consta no Processo em Referência </w:t>
      </w:r>
      <w:r w:rsidRPr="00BB5A33">
        <w:rPr>
          <w:rFonts w:ascii="Bookman Old Style" w:eastAsia="Calibri" w:hAnsi="Bookman Old Style" w:cs="Times New Roman"/>
          <w:szCs w:val="20"/>
          <w:lang w:eastAsia="en-US"/>
        </w:rPr>
        <w:t>180</w:t>
      </w:r>
      <w:r w:rsidRPr="00BB5A33">
        <w:rPr>
          <w:rFonts w:ascii="Bookman Old Style" w:eastAsia="Calibri" w:hAnsi="Bookman Old Style" w:cs="Times New Roman"/>
          <w:szCs w:val="20"/>
          <w:lang w:eastAsia="en-US"/>
        </w:rPr>
        <w:t>/2024</w:t>
      </w:r>
      <w:r w:rsidRPr="00BB5A33">
        <w:rPr>
          <w:rFonts w:ascii="Bookman Old Style" w:eastAsia="Calibri" w:hAnsi="Bookman Old Style" w:cs="Times New Roman"/>
          <w:color w:val="FF0000"/>
          <w:szCs w:val="20"/>
          <w:lang w:eastAsia="en-US"/>
        </w:rPr>
        <w:t xml:space="preserve"> </w:t>
      </w:r>
      <w:r w:rsidRPr="00BB5A33">
        <w:rPr>
          <w:rFonts w:ascii="Bookman Old Style" w:eastAsia="Calibri" w:hAnsi="Bookman Old Style" w:cs="Times New Roman"/>
          <w:szCs w:val="20"/>
          <w:lang w:eastAsia="en-US"/>
        </w:rPr>
        <w:t xml:space="preserve">e em observância às disposições da Lei nº 14.133, de 2021 e </w:t>
      </w:r>
      <w:r w:rsidRPr="00BB5A33">
        <w:rPr>
          <w:rFonts w:ascii="Bookman Old Style" w:eastAsia="Calibri" w:hAnsi="Bookman Old Style" w:cs="Times New Roman"/>
          <w:bCs/>
          <w:szCs w:val="20"/>
          <w:lang w:eastAsia="en-US"/>
        </w:rPr>
        <w:t xml:space="preserve">Decreto Municipal Nº </w:t>
      </w:r>
      <w:r w:rsidRPr="00BB5A33">
        <w:rPr>
          <w:rFonts w:ascii="Bookman Old Style" w:eastAsia="Calibri" w:hAnsi="Bookman Old Style" w:cs="Times New Roman"/>
          <w:szCs w:val="20"/>
          <w:lang w:eastAsia="en-US"/>
        </w:rPr>
        <w:t>3.953/202</w:t>
      </w:r>
      <w:r>
        <w:rPr>
          <w:rFonts w:ascii="Bookman Old Style" w:eastAsia="Calibri" w:hAnsi="Bookman Old Style" w:cs="Times New Roman"/>
          <w:szCs w:val="20"/>
          <w:lang w:eastAsia="en-US"/>
        </w:rPr>
        <w:t>2</w:t>
      </w:r>
      <w:r w:rsidRPr="00BB5A33">
        <w:rPr>
          <w:rFonts w:ascii="Bookman Old Style" w:eastAsia="Calibri" w:hAnsi="Bookman Old Style" w:cs="Times New Roman"/>
          <w:szCs w:val="20"/>
          <w:lang w:eastAsia="en-US"/>
        </w:rPr>
        <w:t xml:space="preserve">, resolvem celebrar o presente Termo de Contrato, decorrente </w:t>
      </w:r>
      <w:r w:rsidRPr="00BB5A33">
        <w:rPr>
          <w:rFonts w:ascii="Bookman Old Style" w:eastAsia="Calibri" w:hAnsi="Bookman Old Style" w:cs="Times New Roman"/>
          <w:iCs/>
          <w:szCs w:val="20"/>
          <w:lang w:eastAsia="en-US"/>
        </w:rPr>
        <w:t>da</w:t>
      </w:r>
      <w:r w:rsidRPr="00BB5A33">
        <w:rPr>
          <w:rFonts w:ascii="Bookman Old Style" w:eastAsia="Calibri" w:hAnsi="Bookman Old Style" w:cs="Times New Roman"/>
          <w:i/>
          <w:iCs/>
          <w:szCs w:val="20"/>
          <w:lang w:eastAsia="en-US"/>
        </w:rPr>
        <w:t xml:space="preserve"> </w:t>
      </w:r>
      <w:r w:rsidRPr="00BB5A33">
        <w:rPr>
          <w:rFonts w:ascii="Bookman Old Style" w:eastAsia="Calibri" w:hAnsi="Bookman Old Style" w:cs="Times New Roman"/>
          <w:b/>
          <w:iCs/>
          <w:szCs w:val="20"/>
          <w:lang w:eastAsia="en-US"/>
        </w:rPr>
        <w:t>DISPENSA DE LICITAÇÃO Nº</w:t>
      </w:r>
      <w:r w:rsidRPr="00BB5A33">
        <w:rPr>
          <w:rFonts w:ascii="Bookman Old Style" w:eastAsia="Calibri" w:hAnsi="Bookman Old Style" w:cs="Times New Roman"/>
          <w:b/>
          <w:szCs w:val="20"/>
          <w:lang w:eastAsia="en-US"/>
        </w:rPr>
        <w:t xml:space="preserve"> </w:t>
      </w:r>
      <w:r>
        <w:rPr>
          <w:rFonts w:ascii="Bookman Old Style" w:eastAsia="Calibri" w:hAnsi="Bookman Old Style" w:cs="Times New Roman"/>
          <w:b/>
          <w:szCs w:val="20"/>
          <w:lang w:eastAsia="en-US"/>
        </w:rPr>
        <w:t>022</w:t>
      </w:r>
      <w:r w:rsidRPr="00BB5A33">
        <w:rPr>
          <w:rFonts w:ascii="Bookman Old Style" w:eastAsia="Calibri" w:hAnsi="Bookman Old Style" w:cs="Times New Roman"/>
          <w:b/>
          <w:szCs w:val="20"/>
          <w:lang w:eastAsia="en-US"/>
        </w:rPr>
        <w:t>/2024</w:t>
      </w:r>
      <w:r w:rsidRPr="00BB5A33">
        <w:rPr>
          <w:rFonts w:ascii="Bookman Old Style" w:eastAsia="Calibri" w:hAnsi="Bookman Old Style" w:cs="Times New Roman"/>
          <w:szCs w:val="20"/>
          <w:lang w:eastAsia="en-US"/>
        </w:rPr>
        <w:t>, mediante as cláusulas e condições a seguir enunciadas.</w:t>
      </w:r>
    </w:p>
    <w:p w:rsidR="00BB5A33" w:rsidRPr="00BB5A33" w:rsidRDefault="00BB5A33" w:rsidP="00BB5A33">
      <w:pPr>
        <w:keepNext/>
        <w:keepLines/>
        <w:tabs>
          <w:tab w:val="left" w:pos="567"/>
        </w:tabs>
        <w:spacing w:before="240"/>
        <w:jc w:val="both"/>
        <w:outlineLvl w:val="0"/>
        <w:rPr>
          <w:rFonts w:ascii="Bookman Old Style" w:hAnsi="Bookman Old Style" w:cs="Times New Roman"/>
          <w:b/>
          <w:bCs/>
          <w:szCs w:val="20"/>
        </w:rPr>
      </w:pPr>
      <w:r w:rsidRPr="00BB5A33">
        <w:rPr>
          <w:rFonts w:ascii="Bookman Old Style" w:hAnsi="Bookman Old Style" w:cs="Times New Roman"/>
          <w:b/>
          <w:bCs/>
          <w:szCs w:val="20"/>
        </w:rPr>
        <w:t>CLÁUSULA PRIMEIRA – OBJETO (Parágrafo I; Art. 92, da Lei 14.133 de 2021)</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color w:val="000000"/>
          <w:szCs w:val="20"/>
          <w:lang w:eastAsia="en-US"/>
        </w:rPr>
        <w:t xml:space="preserve">O objeto do presente instrumento é </w:t>
      </w:r>
      <w:r w:rsidR="00F11C4F" w:rsidRPr="00F11C4F">
        <w:rPr>
          <w:rFonts w:ascii="Bookman Old Style" w:eastAsia="Calibri" w:hAnsi="Bookman Old Style" w:cs="Times New Roman"/>
          <w:color w:val="000000"/>
          <w:szCs w:val="20"/>
          <w:lang w:val="x-none" w:eastAsia="en-US"/>
        </w:rPr>
        <w:t xml:space="preserve">Aquisição de pedras </w:t>
      </w:r>
      <w:proofErr w:type="spellStart"/>
      <w:r w:rsidR="00F11C4F" w:rsidRPr="00F11C4F">
        <w:rPr>
          <w:rFonts w:ascii="Bookman Old Style" w:eastAsia="Calibri" w:hAnsi="Bookman Old Style" w:cs="Times New Roman"/>
          <w:color w:val="000000"/>
          <w:szCs w:val="20"/>
          <w:lang w:val="x-none" w:eastAsia="en-US"/>
        </w:rPr>
        <w:t>marroadas</w:t>
      </w:r>
      <w:proofErr w:type="spellEnd"/>
      <w:r w:rsidR="00F11C4F" w:rsidRPr="00F11C4F">
        <w:rPr>
          <w:rFonts w:ascii="Bookman Old Style" w:eastAsia="Calibri" w:hAnsi="Bookman Old Style" w:cs="Times New Roman"/>
          <w:color w:val="000000"/>
          <w:szCs w:val="20"/>
          <w:lang w:val="x-none" w:eastAsia="en-US"/>
        </w:rPr>
        <w:t xml:space="preserve"> para suprir as demandas do município de Santo Antonio do Sudoeste – PR</w:t>
      </w:r>
      <w:r w:rsidRPr="00BB5A33">
        <w:rPr>
          <w:rFonts w:ascii="Bookman Old Style" w:hAnsi="Bookman Old Style" w:cs="Times New Roman"/>
          <w:bCs/>
          <w:szCs w:val="20"/>
        </w:rPr>
        <w:t xml:space="preserve">, conforme condições, quantidades e exigências estabelecidas neste </w:t>
      </w:r>
      <w:r w:rsidR="00F11C4F">
        <w:rPr>
          <w:rFonts w:ascii="Bookman Old Style" w:hAnsi="Bookman Old Style" w:cs="Times New Roman"/>
          <w:bCs/>
          <w:szCs w:val="20"/>
        </w:rPr>
        <w:t>documento.</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F11C4F" w:rsidRPr="00F11C4F" w:rsidTr="00F11C4F">
        <w:tc>
          <w:tcPr>
            <w:tcW w:w="9730" w:type="dxa"/>
            <w:gridSpan w:val="9"/>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ITENS</w:t>
            </w:r>
          </w:p>
        </w:tc>
      </w:tr>
      <w:tr w:rsidR="00F11C4F" w:rsidRPr="00F11C4F" w:rsidTr="00F11C4F">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Preço total</w:t>
            </w:r>
          </w:p>
        </w:tc>
      </w:tr>
      <w:tr w:rsidR="00F11C4F" w:rsidRPr="00F11C4F" w:rsidTr="00F11C4F">
        <w:tc>
          <w:tcPr>
            <w:tcW w:w="687"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24273</w:t>
            </w:r>
          </w:p>
        </w:tc>
        <w:tc>
          <w:tcPr>
            <w:tcW w:w="3260"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 xml:space="preserve">PEDRA MARROADA  </w:t>
            </w:r>
          </w:p>
        </w:tc>
        <w:tc>
          <w:tcPr>
            <w:tcW w:w="709"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M2</w:t>
            </w:r>
          </w:p>
        </w:tc>
        <w:tc>
          <w:tcPr>
            <w:tcW w:w="993"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590,00</w:t>
            </w:r>
          </w:p>
        </w:tc>
        <w:tc>
          <w:tcPr>
            <w:tcW w:w="992"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100,00</w:t>
            </w:r>
          </w:p>
        </w:tc>
        <w:tc>
          <w:tcPr>
            <w:tcW w:w="941"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59.000,00</w:t>
            </w:r>
          </w:p>
        </w:tc>
      </w:tr>
      <w:tr w:rsidR="00F11C4F" w:rsidRPr="00F11C4F" w:rsidTr="00F11C4F">
        <w:tc>
          <w:tcPr>
            <w:tcW w:w="8789" w:type="dxa"/>
            <w:gridSpan w:val="8"/>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b/>
                <w:sz w:val="16"/>
                <w:szCs w:val="20"/>
              </w:rPr>
            </w:pPr>
            <w:r w:rsidRPr="00F11C4F">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b/>
                <w:sz w:val="16"/>
                <w:szCs w:val="20"/>
              </w:rPr>
            </w:pPr>
            <w:r w:rsidRPr="00F11C4F">
              <w:rPr>
                <w:rFonts w:ascii="Bookman Old Style" w:hAnsi="Bookman Old Style"/>
                <w:b/>
                <w:sz w:val="16"/>
                <w:szCs w:val="20"/>
              </w:rPr>
              <w:t>59.000,00</w:t>
            </w:r>
          </w:p>
        </w:tc>
      </w:tr>
    </w:tbl>
    <w:p w:rsidR="00BB5A33" w:rsidRPr="00BB5A33" w:rsidRDefault="00BB5A33" w:rsidP="00BB5A33">
      <w:pPr>
        <w:jc w:val="both"/>
        <w:rPr>
          <w:rFonts w:ascii="Bookman Old Style" w:eastAsia="Calibri" w:hAnsi="Bookman Old Style" w:cs="Times New Roman"/>
          <w:szCs w:val="20"/>
          <w:lang w:eastAsia="en-US"/>
        </w:rPr>
      </w:pPr>
    </w:p>
    <w:p w:rsidR="00BB5A33" w:rsidRPr="00BB5A33" w:rsidRDefault="00BB5A33" w:rsidP="00BB5A33">
      <w:pPr>
        <w:pStyle w:val="PargrafodaLista"/>
        <w:numPr>
          <w:ilvl w:val="2"/>
          <w:numId w:val="1"/>
        </w:numPr>
        <w:ind w:left="0"/>
        <w:jc w:val="both"/>
        <w:rPr>
          <w:rFonts w:ascii="Bookman Old Style" w:eastAsia="Calibri" w:hAnsi="Bookman Old Style" w:cs="Times New Roman"/>
          <w:szCs w:val="20"/>
          <w:lang w:val="x-none" w:eastAsia="en-US"/>
        </w:rPr>
      </w:pPr>
      <w:r w:rsidRPr="00BB5A33">
        <w:rPr>
          <w:rFonts w:ascii="Bookman Old Style" w:eastAsia="Calibri" w:hAnsi="Bookman Old Style" w:cs="Times New Roman"/>
          <w:szCs w:val="20"/>
          <w:lang w:eastAsia="en-US"/>
        </w:rPr>
        <w:t>São anexos a este instrumento e vinculam esta contratação, independentemente de transcrição:</w:t>
      </w:r>
    </w:p>
    <w:p w:rsidR="00BB5A33" w:rsidRPr="00BB5A33" w:rsidRDefault="00BB5A33" w:rsidP="00BB5A33">
      <w:pPr>
        <w:numPr>
          <w:ilvl w:val="2"/>
          <w:numId w:val="1"/>
        </w:numPr>
        <w:ind w:left="0"/>
        <w:jc w:val="both"/>
        <w:rPr>
          <w:rFonts w:ascii="Bookman Old Style" w:eastAsia="Calibri" w:hAnsi="Bookman Old Style" w:cs="Times New Roman"/>
          <w:szCs w:val="20"/>
          <w:lang w:val="x-none" w:eastAsia="en-US"/>
        </w:rPr>
      </w:pPr>
      <w:r w:rsidRPr="00BB5A33">
        <w:rPr>
          <w:rFonts w:ascii="Bookman Old Style" w:eastAsia="Calibri" w:hAnsi="Bookman Old Style" w:cs="Times New Roman"/>
          <w:szCs w:val="20"/>
          <w:lang w:eastAsia="en-US"/>
        </w:rPr>
        <w:t>O Termo de Referência que embasou a contratação;</w:t>
      </w:r>
    </w:p>
    <w:p w:rsidR="00BB5A33" w:rsidRPr="00BB5A33" w:rsidRDefault="00BB5A33" w:rsidP="00BB5A33">
      <w:pPr>
        <w:numPr>
          <w:ilvl w:val="2"/>
          <w:numId w:val="1"/>
        </w:numPr>
        <w:ind w:left="0"/>
        <w:jc w:val="both"/>
        <w:rPr>
          <w:rFonts w:ascii="Bookman Old Style" w:eastAsia="Calibri" w:hAnsi="Bookman Old Style" w:cs="Times New Roman"/>
          <w:szCs w:val="20"/>
          <w:lang w:val="x-none" w:eastAsia="en-US"/>
        </w:rPr>
      </w:pPr>
      <w:r w:rsidRPr="00BB5A33">
        <w:rPr>
          <w:rFonts w:ascii="Bookman Old Style" w:eastAsia="Calibri" w:hAnsi="Bookman Old Style" w:cs="Times New Roman"/>
          <w:szCs w:val="20"/>
          <w:lang w:eastAsia="en-US"/>
        </w:rPr>
        <w:t>O Edital de Licitação, a Autorização de Contratação Direta e/ou o Aviso de Dispensa Eletrônica, caso existentes;</w:t>
      </w:r>
    </w:p>
    <w:p w:rsidR="00BB5A33" w:rsidRPr="00BB5A33" w:rsidRDefault="00BB5A33" w:rsidP="00BB5A33">
      <w:pPr>
        <w:numPr>
          <w:ilvl w:val="2"/>
          <w:numId w:val="1"/>
        </w:numPr>
        <w:ind w:left="0"/>
        <w:jc w:val="both"/>
        <w:rPr>
          <w:rFonts w:ascii="Bookman Old Style" w:eastAsia="Calibri" w:hAnsi="Bookman Old Style" w:cs="Times New Roman"/>
          <w:szCs w:val="20"/>
          <w:lang w:val="x-none" w:eastAsia="en-US"/>
        </w:rPr>
      </w:pPr>
      <w:r w:rsidRPr="00BB5A33">
        <w:rPr>
          <w:rFonts w:ascii="Bookman Old Style" w:eastAsia="Calibri" w:hAnsi="Bookman Old Style" w:cs="Times New Roman"/>
          <w:szCs w:val="20"/>
          <w:lang w:eastAsia="en-US"/>
        </w:rPr>
        <w:t>A Proposta do Contratado;</w:t>
      </w:r>
    </w:p>
    <w:p w:rsidR="00BB5A33" w:rsidRPr="00BB5A33" w:rsidRDefault="00BB5A33" w:rsidP="00BB5A33">
      <w:pPr>
        <w:numPr>
          <w:ilvl w:val="2"/>
          <w:numId w:val="1"/>
        </w:numPr>
        <w:ind w:left="0"/>
        <w:jc w:val="both"/>
        <w:rPr>
          <w:rFonts w:ascii="Bookman Old Style" w:eastAsia="Calibri" w:hAnsi="Bookman Old Style" w:cs="Times New Roman"/>
          <w:szCs w:val="20"/>
          <w:lang w:val="x-none" w:eastAsia="en-US"/>
        </w:rPr>
      </w:pPr>
      <w:r w:rsidRPr="00BB5A33">
        <w:rPr>
          <w:rFonts w:ascii="Bookman Old Style" w:eastAsia="Calibri" w:hAnsi="Bookman Old Style" w:cs="Times New Roman"/>
          <w:szCs w:val="20"/>
          <w:lang w:eastAsia="en-US"/>
        </w:rPr>
        <w:t>Eventuais anexos dos documentos supracitados.</w:t>
      </w:r>
    </w:p>
    <w:p w:rsidR="00BB5A33" w:rsidRPr="00BB5A33" w:rsidRDefault="00BB5A33" w:rsidP="00BB5A33">
      <w:pPr>
        <w:pStyle w:val="Nivel01Titulo"/>
        <w:tabs>
          <w:tab w:val="clear" w:pos="360"/>
        </w:tabs>
        <w:ind w:left="360" w:hanging="360"/>
        <w:rPr>
          <w:rFonts w:ascii="Bookman Old Style" w:hAnsi="Bookman Old Style"/>
          <w:i/>
        </w:rPr>
      </w:pPr>
      <w:r w:rsidRPr="00BB5A33">
        <w:rPr>
          <w:rFonts w:ascii="Bookman Old Style" w:hAnsi="Bookman Old Style"/>
          <w:color w:val="auto"/>
        </w:rPr>
        <w:t>CLÁUSULA SEGUNDA – VIGÊNCIA E PRORROGAÇÃO.</w:t>
      </w:r>
    </w:p>
    <w:p w:rsidR="00BB5A33" w:rsidRPr="00BB5A33" w:rsidRDefault="00BB5A33" w:rsidP="00BB5A33">
      <w:pPr>
        <w:pStyle w:val="Nivel01Titulo"/>
        <w:numPr>
          <w:ilvl w:val="1"/>
          <w:numId w:val="1"/>
        </w:numPr>
        <w:rPr>
          <w:rFonts w:ascii="Bookman Old Style" w:eastAsia="Calibri" w:hAnsi="Bookman Old Style"/>
          <w:b w:val="0"/>
          <w:color w:val="auto"/>
          <w:lang w:eastAsia="en-US"/>
        </w:rPr>
      </w:pPr>
      <w:r w:rsidRPr="00BB5A33">
        <w:rPr>
          <w:rFonts w:ascii="Bookman Old Style" w:eastAsia="Calibri" w:hAnsi="Bookman Old Style"/>
          <w:b w:val="0"/>
          <w:color w:val="auto"/>
          <w:lang w:eastAsia="en-US"/>
        </w:rPr>
        <w:t>O prazo de vigência da contratação é 12 (doze) meses, contados a partir da assinatura do contrato, prorrogável por até 10 (dez) anos, na forma dos artigos 106 e 107 da Lei n° 14.133, de 2021.</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TERCEIRA – MODELOS DE EXECUÇÃO E GESTÃO CONTRATUAIS (art. 92, IV, VII e XVIII)</w:t>
      </w:r>
    </w:p>
    <w:p w:rsidR="00BB5A33" w:rsidRPr="00BB5A33" w:rsidRDefault="00BB5A33" w:rsidP="00BB5A33">
      <w:pPr>
        <w:numPr>
          <w:ilvl w:val="1"/>
          <w:numId w:val="1"/>
        </w:numPr>
        <w:spacing w:before="120" w:after="12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 regime de execução contratual, o modelo de gestão, assim como os prazos e condições de</w:t>
      </w:r>
      <w:r w:rsidRPr="00BB5A33">
        <w:rPr>
          <w:rFonts w:ascii="Bookman Old Style" w:eastAsia="Calibri" w:hAnsi="Bookman Old Style" w:cs="Times New Roman"/>
          <w:color w:val="000000"/>
          <w:szCs w:val="20"/>
          <w:lang w:eastAsia="en-US"/>
        </w:rPr>
        <w:t xml:space="preserve"> conclusão, entrega, observação e recebimento definitivo</w:t>
      </w:r>
      <w:r w:rsidRPr="00BB5A33">
        <w:rPr>
          <w:rFonts w:ascii="Bookman Old Style" w:eastAsia="Calibri" w:hAnsi="Bookman Old Style" w:cs="Times New Roman"/>
          <w:szCs w:val="20"/>
          <w:lang w:eastAsia="en-US"/>
        </w:rPr>
        <w:t xml:space="preserve"> constam no Termo de Referência, anexo a este Contrato.</w:t>
      </w:r>
    </w:p>
    <w:p w:rsidR="00BB5A33" w:rsidRPr="00BB5A33" w:rsidRDefault="00BB5A33" w:rsidP="00BB5A33">
      <w:pPr>
        <w:numPr>
          <w:ilvl w:val="1"/>
          <w:numId w:val="1"/>
        </w:numPr>
        <w:spacing w:before="120" w:after="12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Fiscal do contrato: </w:t>
      </w:r>
      <w:r w:rsidR="00F11C4F">
        <w:rPr>
          <w:rFonts w:ascii="Bookman Old Style" w:eastAsia="Calibri" w:hAnsi="Bookman Old Style" w:cs="Times New Roman"/>
          <w:szCs w:val="20"/>
          <w:lang w:eastAsia="en-US"/>
        </w:rPr>
        <w:t>ANA MARCIA BANDEIRA MACHADO</w:t>
      </w:r>
      <w:r w:rsidRPr="00BB5A33">
        <w:rPr>
          <w:rFonts w:ascii="Bookman Old Style" w:eastAsia="Calibri" w:hAnsi="Bookman Old Style" w:cs="Times New Roman"/>
          <w:szCs w:val="20"/>
          <w:lang w:eastAsia="en-US"/>
        </w:rPr>
        <w:t>.</w:t>
      </w:r>
    </w:p>
    <w:p w:rsidR="00BB5A33" w:rsidRPr="00BB5A33" w:rsidRDefault="00BB5A33" w:rsidP="00BB5A33">
      <w:pPr>
        <w:spacing w:before="120" w:after="12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lastRenderedPageBreak/>
        <w:t xml:space="preserve">Gestor do Contrato: </w:t>
      </w:r>
      <w:r w:rsidR="00F11C4F">
        <w:rPr>
          <w:rFonts w:ascii="Bookman Old Style" w:eastAsia="Calibri" w:hAnsi="Bookman Old Style" w:cs="Times New Roman"/>
          <w:szCs w:val="20"/>
          <w:lang w:eastAsia="en-US"/>
        </w:rPr>
        <w:t>VALDIR VALÉRIO BLEICH</w:t>
      </w:r>
      <w:r w:rsidRPr="00BB5A33">
        <w:rPr>
          <w:rFonts w:ascii="Bookman Old Style" w:eastAsia="Calibri" w:hAnsi="Bookman Old Style" w:cs="Times New Roman"/>
          <w:szCs w:val="20"/>
          <w:lang w:eastAsia="en-US"/>
        </w:rPr>
        <w:t>.</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 xml:space="preserve">CLÁUSULA QUARTA - SUBCONTRATAÇÃO </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Não será admitida a subcontratação do objeto contratual.</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QUINTA - PAGAMENTO (art. 92, V e VI)</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b/>
          <w:szCs w:val="20"/>
          <w:lang w:eastAsia="en-US"/>
        </w:rPr>
      </w:pPr>
      <w:r w:rsidRPr="00BB5A33">
        <w:rPr>
          <w:rFonts w:ascii="Bookman Old Style" w:eastAsia="Calibri" w:hAnsi="Bookman Old Style" w:cs="Times New Roman"/>
          <w:b/>
          <w:szCs w:val="20"/>
          <w:lang w:eastAsia="en-US"/>
        </w:rPr>
        <w:t>PREÇO</w:t>
      </w:r>
    </w:p>
    <w:p w:rsidR="00BB5A33" w:rsidRPr="00F11C4F" w:rsidRDefault="00BB5A33" w:rsidP="00BB5A33">
      <w:pPr>
        <w:numPr>
          <w:ilvl w:val="2"/>
          <w:numId w:val="1"/>
        </w:numPr>
        <w:spacing w:before="120" w:after="120" w:line="276" w:lineRule="auto"/>
        <w:ind w:left="0"/>
        <w:jc w:val="both"/>
        <w:rPr>
          <w:rFonts w:ascii="Bookman Old Style" w:eastAsia="Calibri" w:hAnsi="Bookman Old Style" w:cs="Times New Roman"/>
          <w:b/>
          <w:szCs w:val="20"/>
          <w:lang w:eastAsia="en-US"/>
        </w:rPr>
      </w:pPr>
      <w:r w:rsidRPr="00BB5A33">
        <w:rPr>
          <w:rFonts w:ascii="Bookman Old Style" w:eastAsia="Calibri" w:hAnsi="Bookman Old Style" w:cs="Times New Roman"/>
          <w:szCs w:val="20"/>
          <w:lang w:eastAsia="en-US"/>
        </w:rPr>
        <w:t xml:space="preserve">O valor total da contratação é de </w:t>
      </w:r>
      <w:r w:rsidR="00F11C4F" w:rsidRPr="00F11C4F">
        <w:rPr>
          <w:rFonts w:ascii="Bookman Old Style" w:eastAsia="Bookman Old Style" w:hAnsi="Bookman Old Style" w:cs="Times New Roman"/>
          <w:b/>
          <w:szCs w:val="20"/>
          <w:lang w:val="x-none"/>
        </w:rPr>
        <w:t>R$ 59.000,00</w:t>
      </w:r>
      <w:r w:rsidR="00F11C4F" w:rsidRPr="00F11C4F">
        <w:rPr>
          <w:rFonts w:ascii="Bookman Old Style" w:eastAsia="Bookman Old Style" w:hAnsi="Bookman Old Style" w:cs="Times New Roman"/>
          <w:b/>
          <w:szCs w:val="20"/>
        </w:rPr>
        <w:t xml:space="preserve"> </w:t>
      </w:r>
      <w:r w:rsidR="00F11C4F" w:rsidRPr="00F11C4F">
        <w:rPr>
          <w:rFonts w:ascii="Bookman Old Style" w:eastAsia="Bookman Old Style" w:hAnsi="Bookman Old Style" w:cs="Times New Roman"/>
          <w:b/>
          <w:szCs w:val="20"/>
          <w:lang w:val="x-none"/>
        </w:rPr>
        <w:t>(Cinquenta e Nove Mil Reais).</w:t>
      </w:r>
    </w:p>
    <w:p w:rsidR="00BB5A33" w:rsidRPr="00BB5A33" w:rsidRDefault="00BB5A33" w:rsidP="00BB5A33">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b/>
          <w:szCs w:val="20"/>
          <w:lang w:eastAsia="en-US"/>
        </w:rPr>
        <w:t>FORMA DE PAGAMENTO</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Será considerada data do pagamento o dia em que constar como emitida a ordem bancária para pagamento.</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b/>
          <w:szCs w:val="20"/>
          <w:lang w:eastAsia="en-US"/>
        </w:rPr>
      </w:pPr>
      <w:r w:rsidRPr="00BB5A33">
        <w:rPr>
          <w:rFonts w:ascii="Bookman Old Style" w:eastAsia="Calibri" w:hAnsi="Bookman Old Style" w:cs="Times New Roman"/>
          <w:b/>
          <w:szCs w:val="20"/>
          <w:lang w:eastAsia="en-US"/>
        </w:rPr>
        <w:t>PRAZO DE PAGAMENTO</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BB5A33">
        <w:rPr>
          <w:rFonts w:ascii="Bookman Old Style" w:eastAsia="Calibri" w:hAnsi="Bookman Old Style" w:cs="Times New Roman"/>
          <w:color w:val="000000"/>
          <w:szCs w:val="20"/>
          <w:lang w:eastAsia="en-US"/>
        </w:rPr>
        <w:t xml:space="preserve">O </w:t>
      </w:r>
      <w:r w:rsidRPr="00BB5A33">
        <w:rPr>
          <w:rFonts w:ascii="Bookman Old Style" w:eastAsia="Calibri" w:hAnsi="Bookman Old Style" w:cs="Times New Roman"/>
          <w:szCs w:val="20"/>
          <w:lang w:eastAsia="en-US"/>
        </w:rPr>
        <w:t>pagamento</w:t>
      </w:r>
      <w:r w:rsidRPr="00BB5A33">
        <w:rPr>
          <w:rFonts w:ascii="Bookman Old Style" w:eastAsia="Calibri" w:hAnsi="Bookman Old Style" w:cs="Times New Roman"/>
          <w:color w:val="000000"/>
          <w:szCs w:val="20"/>
          <w:lang w:eastAsia="en-US"/>
        </w:rPr>
        <w:t xml:space="preserve"> será efetuado no prazo máximo de</w:t>
      </w:r>
      <w:r w:rsidRPr="00BB5A33">
        <w:rPr>
          <w:rFonts w:ascii="Bookman Old Style" w:eastAsia="Arial" w:hAnsi="Bookman Old Style" w:cs="Times New Roman"/>
          <w:color w:val="000000"/>
          <w:szCs w:val="20"/>
          <w:lang w:eastAsia="en-US"/>
        </w:rPr>
        <w:t xml:space="preserve"> até </w:t>
      </w:r>
      <w:r w:rsidRPr="00BB5A33">
        <w:rPr>
          <w:rFonts w:ascii="Bookman Old Style" w:eastAsia="Arial" w:hAnsi="Bookman Old Style" w:cs="Times New Roman"/>
          <w:szCs w:val="20"/>
          <w:lang w:eastAsia="en-US"/>
        </w:rPr>
        <w:t xml:space="preserve">30 (trinta) </w:t>
      </w:r>
      <w:r w:rsidRPr="00BB5A33">
        <w:rPr>
          <w:rFonts w:ascii="Bookman Old Style" w:eastAsia="Calibri" w:hAnsi="Bookman Old Style" w:cs="Times New Roman"/>
          <w:color w:val="000000"/>
          <w:szCs w:val="20"/>
          <w:lang w:eastAsia="en-US"/>
        </w:rPr>
        <w:t>dias, contados do recebimento da Nota Fiscal/Fatura.</w:t>
      </w:r>
      <w:r w:rsidRPr="00BB5A33">
        <w:rPr>
          <w:rFonts w:ascii="Bookman Old Style" w:eastAsia="Calibri" w:hAnsi="Bookman Old Style" w:cs="Times New Roman"/>
          <w:szCs w:val="20"/>
          <w:lang w:val="x-none" w:eastAsia="en-US"/>
        </w:rPr>
        <w:t xml:space="preserve"> </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b/>
          <w:szCs w:val="20"/>
          <w:lang w:eastAsia="en-US"/>
        </w:rPr>
      </w:pPr>
      <w:r w:rsidRPr="00BB5A33">
        <w:rPr>
          <w:rFonts w:ascii="Bookman Old Style" w:eastAsia="Calibri" w:hAnsi="Bookman Old Style" w:cs="Times New Roman"/>
          <w:b/>
          <w:szCs w:val="20"/>
          <w:lang w:eastAsia="en-US"/>
        </w:rPr>
        <w:t>CONDIÇÕES DE PAGAMENTO</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iCs/>
          <w:szCs w:val="20"/>
          <w:lang w:eastAsia="en-US"/>
        </w:rPr>
        <w:t xml:space="preserve">A emissão da </w:t>
      </w:r>
      <w:r w:rsidRPr="00BB5A33">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BB5A33">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BB5A33" w:rsidRPr="00BB5A33" w:rsidRDefault="00BB5A33" w:rsidP="00BB5A3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 xml:space="preserve">O prazo de validade; </w:t>
      </w:r>
    </w:p>
    <w:p w:rsidR="00BB5A33" w:rsidRPr="00BB5A33" w:rsidRDefault="00BB5A33" w:rsidP="00BB5A3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 xml:space="preserve">A data da emissão; </w:t>
      </w:r>
    </w:p>
    <w:p w:rsidR="00BB5A33" w:rsidRPr="00BB5A33" w:rsidRDefault="00BB5A33" w:rsidP="00BB5A3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 xml:space="preserve">Os dados do contrato e do órgão contratante; </w:t>
      </w:r>
    </w:p>
    <w:p w:rsidR="00BB5A33" w:rsidRPr="00BB5A33" w:rsidRDefault="00BB5A33" w:rsidP="00BB5A3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 xml:space="preserve">O período respectivo de execução do contrato; </w:t>
      </w:r>
    </w:p>
    <w:p w:rsidR="00BB5A33" w:rsidRPr="00BB5A33" w:rsidRDefault="00BB5A33" w:rsidP="00BB5A3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 xml:space="preserve">O valor a pagar; e </w:t>
      </w:r>
    </w:p>
    <w:p w:rsidR="00BB5A33" w:rsidRPr="00BB5A33" w:rsidRDefault="00BB5A33" w:rsidP="00BB5A3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Eventual destaque do valor de retenções tributárias cabíveis.</w:t>
      </w:r>
    </w:p>
    <w:p w:rsidR="00BB5A33" w:rsidRPr="00BB5A33" w:rsidRDefault="00BB5A33" w:rsidP="00BB5A33">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iCs/>
          <w:szCs w:val="20"/>
          <w:lang w:eastAsia="en-US"/>
        </w:rPr>
        <w:t xml:space="preserve">Havendo erro </w:t>
      </w:r>
      <w:r w:rsidRPr="00BB5A33">
        <w:rPr>
          <w:rFonts w:ascii="Bookman Old Style" w:eastAsia="Calibri" w:hAnsi="Bookman Old Style" w:cs="Times New Roman"/>
          <w:color w:val="000000"/>
          <w:szCs w:val="20"/>
          <w:lang w:eastAsia="en-US"/>
        </w:rPr>
        <w:t>na</w:t>
      </w:r>
      <w:r w:rsidRPr="00BB5A33">
        <w:rPr>
          <w:rFonts w:ascii="Bookman Old Style" w:eastAsia="Calibri" w:hAnsi="Bookman Old Style" w:cs="Times New Roman"/>
          <w:iCs/>
          <w:szCs w:val="20"/>
          <w:lang w:eastAsia="en-US"/>
        </w:rPr>
        <w:t xml:space="preserve"> apresentação da Nota Fiscal/Fatura, ou circunstância que impeça a liquidação da </w:t>
      </w:r>
      <w:r w:rsidRPr="00BB5A33">
        <w:rPr>
          <w:rFonts w:ascii="Bookman Old Style" w:eastAsia="Calibri" w:hAnsi="Bookman Old Style" w:cs="Times New Roman"/>
          <w:color w:val="000000"/>
          <w:szCs w:val="20"/>
          <w:lang w:eastAsia="en-US"/>
        </w:rPr>
        <w:t>despesa</w:t>
      </w:r>
      <w:r w:rsidRPr="00BB5A33">
        <w:rPr>
          <w:rFonts w:ascii="Bookman Old Style" w:eastAsia="Calibri" w:hAnsi="Bookman Old Style" w:cs="Times New Roman"/>
          <w:iCs/>
          <w:szCs w:val="20"/>
          <w:lang w:eastAsia="en-US"/>
        </w:rPr>
        <w:t xml:space="preserve">, o pagamento ficará sobrestado até que o contratado providencie as medidas saneadoras. Nessa hipótese, o prazo para pagamento iniciar-se-á após a comprovação da </w:t>
      </w:r>
      <w:proofErr w:type="gramStart"/>
      <w:r w:rsidRPr="00BB5A33">
        <w:rPr>
          <w:rFonts w:ascii="Bookman Old Style" w:eastAsia="Calibri" w:hAnsi="Bookman Old Style" w:cs="Times New Roman"/>
          <w:iCs/>
          <w:szCs w:val="20"/>
          <w:lang w:eastAsia="en-US"/>
        </w:rPr>
        <w:t>regularização</w:t>
      </w:r>
      <w:proofErr w:type="gramEnd"/>
      <w:r w:rsidRPr="00BB5A33">
        <w:rPr>
          <w:rFonts w:ascii="Bookman Old Style" w:eastAsia="Calibri" w:hAnsi="Bookman Old Style" w:cs="Times New Roman"/>
          <w:iCs/>
          <w:szCs w:val="20"/>
          <w:lang w:eastAsia="en-US"/>
        </w:rPr>
        <w:t xml:space="preserve"> da situação, não acarretando qualquer ônus para o contratante;</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iCs/>
          <w:szCs w:val="20"/>
          <w:lang w:eastAsia="en-US"/>
        </w:rPr>
        <w:t xml:space="preserve"> </w:t>
      </w:r>
      <w:r w:rsidRPr="00BB5A33">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BB5A33">
        <w:rPr>
          <w:rFonts w:ascii="Bookman Old Style" w:eastAsia="Calibri" w:hAnsi="Bookman Old Style" w:cs="Times New Roman"/>
          <w:i/>
          <w:color w:val="000000"/>
          <w:szCs w:val="20"/>
          <w:lang w:eastAsia="en-US"/>
        </w:rPr>
        <w:t>on-line</w:t>
      </w:r>
      <w:r w:rsidRPr="00BB5A33">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BB5A33">
        <w:rPr>
          <w:rFonts w:ascii="Bookman Old Style" w:eastAsia="Calibri" w:hAnsi="Bookman Old Style" w:cs="Times New Roman"/>
          <w:szCs w:val="20"/>
          <w:lang w:eastAsia="en-US"/>
        </w:rPr>
        <w:t xml:space="preserve">14.133/2021. </w:t>
      </w:r>
      <w:r w:rsidRPr="00BB5A33">
        <w:rPr>
          <w:rFonts w:ascii="Bookman Old Style" w:eastAsia="Calibri" w:hAnsi="Bookman Old Style" w:cs="Times New Roman"/>
          <w:color w:val="000000"/>
          <w:szCs w:val="20"/>
          <w:lang w:eastAsia="en-US"/>
        </w:rPr>
        <w:t xml:space="preserve">  </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BB5A33">
        <w:rPr>
          <w:rFonts w:ascii="Bookman Old Style" w:eastAsia="Calibri" w:hAnsi="Bookman Old Style" w:cs="Times New Roman"/>
          <w:color w:val="000000"/>
          <w:szCs w:val="20"/>
          <w:lang w:eastAsia="en-US"/>
        </w:rPr>
        <w:t>SICAF</w:t>
      </w:r>
      <w:r w:rsidRPr="00BB5A33">
        <w:rPr>
          <w:rFonts w:ascii="Bookman Old Style" w:eastAsia="Calibri" w:hAnsi="Bookman Old Style" w:cs="Times New Roman"/>
          <w:szCs w:val="20"/>
          <w:lang w:eastAsia="en-US"/>
        </w:rPr>
        <w:t xml:space="preserve"> para: a) verificar a manutenção das condições de habilitação exigidas no </w:t>
      </w:r>
      <w:r w:rsidRPr="00BB5A33">
        <w:rPr>
          <w:rFonts w:ascii="Bookman Old Style" w:eastAsia="Calibri" w:hAnsi="Bookman Old Style" w:cs="Times New Roman"/>
          <w:szCs w:val="20"/>
          <w:lang w:eastAsia="en-US"/>
        </w:rPr>
        <w:lastRenderedPageBreak/>
        <w:t>edital; b) identificar possível razão que impeça a participação em licitação, no âmbito do órgão ou entidade, proibição de contratar com o Poder Público, bem como ocorrências impeditivas indiretas.</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Constatando-se, junto ao SICAF, a situação de irregularidade do contratado, será providenciada sua </w:t>
      </w:r>
      <w:r w:rsidRPr="00BB5A33">
        <w:rPr>
          <w:rFonts w:ascii="Bookman Old Style" w:eastAsia="Calibri" w:hAnsi="Bookman Old Style" w:cs="Times New Roman"/>
          <w:color w:val="000000"/>
          <w:szCs w:val="20"/>
          <w:lang w:eastAsia="en-US"/>
        </w:rPr>
        <w:t>notificação</w:t>
      </w:r>
      <w:r w:rsidRPr="00BB5A33">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Quando do pagamento, será efetuada a retenção tributária prevista na legislação aplicável.</w:t>
      </w:r>
    </w:p>
    <w:p w:rsidR="00BB5A33" w:rsidRPr="00BB5A33" w:rsidRDefault="00BB5A33" w:rsidP="00BB5A33">
      <w:pPr>
        <w:numPr>
          <w:ilvl w:val="3"/>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BB5A33" w:rsidRPr="00BB5A33" w:rsidRDefault="00BB5A33" w:rsidP="00BB5A33">
      <w:pPr>
        <w:numPr>
          <w:ilvl w:val="2"/>
          <w:numId w:val="2"/>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B5A33" w:rsidRPr="00BB5A33" w:rsidRDefault="00BB5A33" w:rsidP="00BB5A33">
      <w:pPr>
        <w:pStyle w:val="Nivel01Titulo"/>
        <w:numPr>
          <w:ilvl w:val="0"/>
          <w:numId w:val="2"/>
        </w:numPr>
        <w:rPr>
          <w:rFonts w:ascii="Bookman Old Style" w:hAnsi="Bookman Old Style"/>
          <w:color w:val="auto"/>
        </w:rPr>
      </w:pPr>
      <w:r w:rsidRPr="00BB5A33">
        <w:rPr>
          <w:rFonts w:ascii="Bookman Old Style" w:hAnsi="Bookman Old Style"/>
          <w:color w:val="auto"/>
        </w:rPr>
        <w:t>CLÁUSULA SEXTA - REAJUSTE (art. 92, V)</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SÉTIMA - OBRIGAÇÕES DO CONTRATANTE (art. 92, X, XI e XIV)</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BB5A33">
        <w:rPr>
          <w:rFonts w:ascii="Bookman Old Style" w:eastAsia="Calibri" w:hAnsi="Bookman Old Style" w:cs="Times New Roman"/>
          <w:szCs w:val="20"/>
          <w:lang w:eastAsia="en-US"/>
        </w:rPr>
        <w:t>São obrigações do Contratante:</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B5A33">
        <w:rPr>
          <w:rFonts w:ascii="Bookman Old Style" w:eastAsia="Calibri" w:hAnsi="Bookman Old Style" w:cs="Times New Roman"/>
          <w:szCs w:val="20"/>
          <w:lang w:eastAsia="en-US"/>
        </w:rPr>
        <w:t>Exigir</w:t>
      </w:r>
      <w:r w:rsidRPr="00BB5A33">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B5A33">
        <w:rPr>
          <w:rFonts w:ascii="Bookman Old Style" w:eastAsia="Calibri" w:hAnsi="Bookman Old Style" w:cs="Times New Roman"/>
          <w:szCs w:val="20"/>
          <w:lang w:eastAsia="en-US"/>
        </w:rPr>
        <w:t>Receber o objeto no prazo e condições estabelecidas no Termo de Referência;</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B5A33">
        <w:rPr>
          <w:rFonts w:ascii="Bookman Old Style" w:eastAsia="Calibri" w:hAnsi="Bookman Old Style" w:cs="Times New Roman"/>
          <w:color w:val="000000"/>
          <w:szCs w:val="20"/>
          <w:lang w:eastAsia="en-US"/>
        </w:rPr>
        <w:t>Notificar o Contratado</w:t>
      </w:r>
      <w:r w:rsidRPr="00BB5A33">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B5A33">
        <w:rPr>
          <w:rFonts w:ascii="Bookman Old Style" w:eastAsia="Calibri" w:hAnsi="Bookman Old Style" w:cs="Times New Roman"/>
          <w:szCs w:val="20"/>
          <w:lang w:eastAsia="en-US"/>
        </w:rPr>
        <w:t>Acompanhar e fiscalizar a execução do contrato e o cumprimento das obrigações pelo Contratado</w:t>
      </w:r>
      <w:r w:rsidRPr="00BB5A33">
        <w:rPr>
          <w:rFonts w:ascii="Bookman Old Style" w:eastAsia="Calibri" w:hAnsi="Bookman Old Style" w:cs="Times New Roman"/>
          <w:color w:val="000000"/>
          <w:szCs w:val="20"/>
          <w:lang w:eastAsia="en-US"/>
        </w:rPr>
        <w:t>;</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B5A33">
        <w:rPr>
          <w:rFonts w:ascii="Bookman Old Style" w:eastAsia="Calibri" w:hAnsi="Bookman Old Style" w:cs="Times New Roman"/>
          <w:szCs w:val="20"/>
          <w:lang w:eastAsia="en-US"/>
        </w:rPr>
        <w:t>Efetuar o pagamento ao Contratado</w:t>
      </w:r>
      <w:r w:rsidRPr="00BB5A33">
        <w:rPr>
          <w:rFonts w:ascii="Bookman Old Style" w:eastAsia="Calibri" w:hAnsi="Bookman Old Style" w:cs="Times New Roman"/>
          <w:b/>
          <w:szCs w:val="20"/>
          <w:lang w:eastAsia="en-US"/>
        </w:rPr>
        <w:t xml:space="preserve"> </w:t>
      </w:r>
      <w:r w:rsidRPr="00BB5A33">
        <w:rPr>
          <w:rFonts w:ascii="Bookman Old Style" w:eastAsia="Calibri" w:hAnsi="Bookman Old Style" w:cs="Times New Roman"/>
          <w:szCs w:val="20"/>
          <w:lang w:eastAsia="en-US"/>
        </w:rPr>
        <w:t>do valor correspondente ao fornecimento do objeto, no prazo, forma e condições estabelecidos no presente Contrato;</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B5A33">
        <w:rPr>
          <w:rFonts w:ascii="Bookman Old Style" w:eastAsia="Calibri" w:hAnsi="Bookman Old Style" w:cs="Times New Roman"/>
          <w:bCs/>
          <w:color w:val="000000"/>
          <w:szCs w:val="20"/>
          <w:lang w:eastAsia="en-US"/>
        </w:rPr>
        <w:t>Aplicar ao Contratado sanções motivadas pela inexecução total ou parcial do Contrato;</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BB5A33">
        <w:rPr>
          <w:rFonts w:ascii="Bookman Old Style" w:eastAsia="Calibri" w:hAnsi="Bookman Old Style" w:cs="Times New Roman"/>
          <w:bCs/>
          <w:color w:val="000000"/>
          <w:szCs w:val="20"/>
          <w:lang w:eastAsia="en-US"/>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B5A33">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B5A33">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OITAVA - OBRIGAÇÕES DO CONTRATADO (art. 92, XIV, XVI e XVII)</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szCs w:val="20"/>
          <w:lang w:eastAsia="en-US"/>
        </w:rPr>
        <w:t>Responsabilizar-se pelos vícios e danos decorrentes do objeto, de acordo com os artigos 12, 13 e 17 a 27, do Código de Defesa do Consumidor (Lei nº 8.078, de 1990);</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Comunicar ao Contratante, no prazo máximo de 24 (vinte e quatro) horas que antecede a data da entrega, os motivos que impossibilitem o cumprimento do prazo previsto, com a devida comprovação;</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BB5A33">
        <w:rPr>
          <w:rFonts w:ascii="Bookman Old Style" w:eastAsia="Calibri" w:hAnsi="Bookman Old Style" w:cs="Times New Roman"/>
          <w:szCs w:val="20"/>
          <w:lang w:eastAsia="en-US"/>
        </w:rPr>
        <w:t>prestar todo esclarecimento ou informação por eles solicitados</w:t>
      </w:r>
      <w:r w:rsidRPr="00BB5A33">
        <w:rPr>
          <w:rFonts w:ascii="Bookman Old Style" w:eastAsia="Calibri" w:hAnsi="Bookman Old Style" w:cs="Times New Roman"/>
          <w:color w:val="000000"/>
          <w:szCs w:val="20"/>
          <w:lang w:eastAsia="en-US"/>
        </w:rPr>
        <w:t>;</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B5A33">
        <w:rPr>
          <w:rFonts w:ascii="Bookman Old Style" w:eastAsia="Calibri" w:hAnsi="Bookman Old Style" w:cs="Times New Roman"/>
          <w:iCs/>
          <w:color w:val="000000"/>
          <w:szCs w:val="20"/>
          <w:lang w:eastAsia="en-US"/>
        </w:rPr>
        <w:t xml:space="preserve">Quando não for possível a verificação da regularidade no Sistema de Cadastro </w:t>
      </w:r>
      <w:r w:rsidRPr="00BB5A33">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BB5A33">
        <w:rPr>
          <w:rFonts w:ascii="Bookman Old Style" w:eastAsia="Calibri" w:hAnsi="Bookman Old Style" w:cs="Times New Roman"/>
          <w:i/>
          <w:iCs/>
          <w:szCs w:val="20"/>
          <w:lang w:eastAsia="en-US"/>
        </w:rPr>
        <w:t>junto com a Nota Fiscal para fins de pagamento</w:t>
      </w:r>
      <w:r w:rsidRPr="00BB5A33">
        <w:rPr>
          <w:rFonts w:ascii="Bookman Old Style" w:eastAsia="Calibri" w:hAnsi="Bookman Old Style" w:cs="Times New Roman"/>
          <w:i/>
          <w:iCs/>
          <w:color w:val="FF0000"/>
          <w:szCs w:val="20"/>
          <w:lang w:eastAsia="en-US"/>
        </w:rPr>
        <w:t>,</w:t>
      </w:r>
      <w:r w:rsidRPr="00BB5A33">
        <w:rPr>
          <w:rFonts w:ascii="Bookman Old Style" w:eastAsia="Calibri" w:hAnsi="Bookman Old Style" w:cs="Times New Roman"/>
          <w:iCs/>
          <w:szCs w:val="20"/>
          <w:lang w:eastAsia="en-US"/>
        </w:rPr>
        <w:t xml:space="preserve"> os seguintes documentos: 1) prova de regularidade relativa à Seguridade </w:t>
      </w:r>
      <w:r w:rsidRPr="00BB5A33">
        <w:rPr>
          <w:rFonts w:ascii="Bookman Old Style" w:eastAsia="Calibri" w:hAnsi="Bookman Old Style" w:cs="Times New Roman"/>
          <w:color w:val="000000"/>
          <w:szCs w:val="20"/>
          <w:lang w:eastAsia="en-US"/>
        </w:rPr>
        <w:t>Social</w:t>
      </w:r>
      <w:r w:rsidRPr="00BB5A33">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B5A33">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  Guardar sigilo sobre todas as informações obtidas em decorrência do cumprimento do contrato; </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lastRenderedPageBreak/>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Não será admitida a subcontratação do objeto contratual.</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A empresa contratada deverá estar regular perante os órgãos fiscais e trabalhistas, apresentando certidões atualizadas que comprovem a situação regular perante essas instâncias.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bCs/>
          <w:szCs w:val="20"/>
          <w:lang w:eastAsia="en-US"/>
        </w:rPr>
        <w:t>A contratada deve assegurar a capacidade de atendimento à demanda estipulada no contrato, garantindo a entrega dentro dos prazos acordados e a conformidade com as especificações técnicas.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bCs/>
          <w:szCs w:val="20"/>
          <w:lang w:eastAsia="en-US"/>
        </w:rPr>
        <w:t>A contratada compromete-se a cumprir rigorosamente os prazos estabelecidos no contrato, comunicando antecipadamente qualquer eventualidade que possa impactar o cronograma de entregas.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bCs/>
          <w:szCs w:val="20"/>
          <w:lang w:eastAsia="en-US"/>
        </w:rPr>
        <w:t>A contratada deve manter comunicação transparente e eficaz com a contratante, informando prontamente sobre quaisquer problemas, atrasos ou alterações nos procedimentos estabelecidos.</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bCs/>
          <w:szCs w:val="20"/>
          <w:lang w:eastAsia="en-US"/>
        </w:rPr>
        <w:t>A contratada compromete-se a adotar práticas sustentáveis em suas operações, em conformidade com os requisitos estabelecidos para critérios de sustentabilidade, contribuindo para a responsabilidade ambiental.</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B5A33">
        <w:rPr>
          <w:rFonts w:ascii="Bookman Old Style" w:eastAsia="Calibri" w:hAnsi="Bookman Old Style" w:cs="Times New Roman"/>
          <w:bCs/>
          <w:szCs w:val="20"/>
          <w:lang w:eastAsia="en-US"/>
        </w:rPr>
        <w:t>A contratada deve respeitar a confidencialidade de informações sensíveis da contratante, evitando o compartilhamento não autorizado de dados e documentos relacionados ao contrato.</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NONA – GARANTIA DE EXECUÇÃO (art. 92, XII e XIII)</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Não haverá exigência de garantia contratual da execução.</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DÉCIMA – INFRAÇÕES E SANÇÕES ADMINISTRATIVAS (art. 92, XIV)</w:t>
      </w:r>
    </w:p>
    <w:p w:rsidR="00BB5A33" w:rsidRPr="00BB5A33" w:rsidRDefault="00BB5A33" w:rsidP="00F11C4F">
      <w:pPr>
        <w:numPr>
          <w:ilvl w:val="1"/>
          <w:numId w:val="1"/>
        </w:numPr>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Comete infração administrativa, nos termos da Lei nº 14.133, de 2021, o Contratado que:</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Der causa à inexecução parcial do contrato;</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Der causa à inexecução parcial do contrato que cause grave dano à Administração ou ao funcionamento dos serviços públicos ou ao interesse coletivo;</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Der causa à inexecução total do contrato;</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Deixar de entregar a documentação exigida para o certame;</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Não mantiver a proposta, salvo em decorrência de fato superveniente devidamente justificado;</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Não celebrar o contrato ou não entregar a documentação exigida para a contratação, quando convocado dentro do prazo de validade de sua proposta;</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Ensejar o retardamento da execução ou da entrega do objeto da contratação sem motivo justificado;</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Apresentar declaração ou documentação falsa exigida para o certame ou prestar declaração falsa durante a dispensa eletrônica ou execução do contrato;</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Fraudar a contratação ou praticar ato fraudulento na execução do contrato;</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Comportar-se de modo inidôneo ou cometer fraude de qualquer natureza;</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Praticar atos ilícitos com vistas a frustrar os objetivos do certame;</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Praticar ato lesivo previsto no art. 5º da Lei nº 12.846, de 1º de agosto de 2013.</w:t>
      </w:r>
    </w:p>
    <w:p w:rsidR="00BB5A33" w:rsidRPr="00BB5A33" w:rsidRDefault="00BB5A33" w:rsidP="00F11C4F">
      <w:pPr>
        <w:numPr>
          <w:ilvl w:val="2"/>
          <w:numId w:val="4"/>
        </w:numPr>
        <w:tabs>
          <w:tab w:val="left" w:pos="284"/>
        </w:tabs>
        <w:ind w:left="0" w:firstLine="0"/>
        <w:jc w:val="both"/>
        <w:rPr>
          <w:rFonts w:ascii="Bookman Old Style" w:hAnsi="Bookman Old Style" w:cs="Times New Roman"/>
          <w:szCs w:val="20"/>
        </w:rPr>
      </w:pPr>
      <w:r w:rsidRPr="00BB5A33">
        <w:rPr>
          <w:rFonts w:ascii="Bookman Old Style" w:hAnsi="Bookman Old Style" w:cs="Times New Roman"/>
          <w:szCs w:val="20"/>
        </w:rPr>
        <w:t xml:space="preserve"> </w:t>
      </w:r>
      <w:r w:rsidRPr="00BB5A33">
        <w:rPr>
          <w:rFonts w:ascii="Bookman Old Style" w:eastAsia="Calibri" w:hAnsi="Bookman Old Style" w:cs="Times New Roman"/>
          <w:szCs w:val="20"/>
          <w:lang w:eastAsia="en-US"/>
        </w:rPr>
        <w:t>Serão aplicadas ao responsável pelas infrações administrativas acima descritas as seguintes sanções:</w:t>
      </w:r>
    </w:p>
    <w:p w:rsidR="00BB5A33" w:rsidRPr="00BB5A33" w:rsidRDefault="00BB5A33" w:rsidP="00F11C4F">
      <w:pPr>
        <w:numPr>
          <w:ilvl w:val="2"/>
          <w:numId w:val="5"/>
        </w:numPr>
        <w:tabs>
          <w:tab w:val="left" w:pos="426"/>
        </w:tabs>
        <w:ind w:left="0" w:firstLine="0"/>
        <w:jc w:val="both"/>
        <w:rPr>
          <w:rFonts w:ascii="Bookman Old Style" w:eastAsia="Calibri" w:hAnsi="Bookman Old Style" w:cs="Times New Roman"/>
          <w:szCs w:val="20"/>
          <w:lang w:eastAsia="en-US"/>
        </w:rPr>
      </w:pPr>
      <w:r w:rsidRPr="00BB5A33">
        <w:rPr>
          <w:rFonts w:ascii="Bookman Old Style" w:eastAsia="Calibri" w:hAnsi="Bookman Old Style" w:cs="Times New Roman"/>
          <w:b/>
          <w:bCs/>
          <w:szCs w:val="20"/>
          <w:lang w:eastAsia="en-US"/>
        </w:rPr>
        <w:lastRenderedPageBreak/>
        <w:t>Advertência</w:t>
      </w:r>
      <w:r w:rsidRPr="00BB5A33">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BB5A33" w:rsidRPr="00BB5A33" w:rsidRDefault="00BB5A33" w:rsidP="00F11C4F">
      <w:pPr>
        <w:numPr>
          <w:ilvl w:val="2"/>
          <w:numId w:val="5"/>
        </w:numPr>
        <w:tabs>
          <w:tab w:val="left" w:pos="426"/>
        </w:tabs>
        <w:ind w:left="0" w:firstLine="0"/>
        <w:jc w:val="both"/>
        <w:rPr>
          <w:rFonts w:ascii="Bookman Old Style" w:eastAsia="Calibri" w:hAnsi="Bookman Old Style" w:cs="Times New Roman"/>
          <w:szCs w:val="20"/>
          <w:lang w:eastAsia="en-US"/>
        </w:rPr>
      </w:pPr>
      <w:r w:rsidRPr="00BB5A33">
        <w:rPr>
          <w:rFonts w:ascii="Bookman Old Style" w:eastAsia="Calibri" w:hAnsi="Bookman Old Style" w:cs="Times New Roman"/>
          <w:b/>
          <w:bCs/>
          <w:szCs w:val="20"/>
          <w:lang w:eastAsia="en-US"/>
        </w:rPr>
        <w:t>Impedimento de licitar e contratar</w:t>
      </w:r>
      <w:r w:rsidRPr="00BB5A33">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BB5A33" w:rsidRPr="00BB5A33" w:rsidRDefault="00BB5A33" w:rsidP="00F11C4F">
      <w:pPr>
        <w:numPr>
          <w:ilvl w:val="2"/>
          <w:numId w:val="5"/>
        </w:numPr>
        <w:tabs>
          <w:tab w:val="left" w:pos="426"/>
        </w:tabs>
        <w:ind w:left="0" w:firstLine="0"/>
        <w:jc w:val="both"/>
        <w:rPr>
          <w:rFonts w:ascii="Bookman Old Style" w:eastAsia="Calibri" w:hAnsi="Bookman Old Style" w:cs="Times New Roman"/>
          <w:szCs w:val="20"/>
          <w:lang w:eastAsia="en-US"/>
        </w:rPr>
      </w:pPr>
      <w:r w:rsidRPr="00BB5A33">
        <w:rPr>
          <w:rFonts w:ascii="Bookman Old Style" w:eastAsia="Calibri" w:hAnsi="Bookman Old Style" w:cs="Times New Roman"/>
          <w:b/>
          <w:bCs/>
          <w:szCs w:val="20"/>
          <w:lang w:eastAsia="en-US"/>
        </w:rPr>
        <w:t>Declaração de inidoneidade para licitar e contratar</w:t>
      </w:r>
      <w:r w:rsidRPr="00BB5A33">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BB5A33" w:rsidRPr="00BB5A33" w:rsidRDefault="00BB5A33" w:rsidP="00F11C4F">
      <w:pPr>
        <w:numPr>
          <w:ilvl w:val="2"/>
          <w:numId w:val="5"/>
        </w:numPr>
        <w:tabs>
          <w:tab w:val="left" w:pos="567"/>
        </w:tabs>
        <w:ind w:left="0" w:firstLine="0"/>
        <w:jc w:val="both"/>
        <w:rPr>
          <w:rFonts w:ascii="Bookman Old Style" w:eastAsia="Calibri" w:hAnsi="Bookman Old Style" w:cs="Times New Roman"/>
          <w:szCs w:val="20"/>
          <w:lang w:eastAsia="en-US"/>
        </w:rPr>
      </w:pPr>
      <w:r w:rsidRPr="00BB5A33">
        <w:rPr>
          <w:rFonts w:ascii="Bookman Old Style" w:eastAsia="Calibri" w:hAnsi="Bookman Old Style" w:cs="Times New Roman"/>
          <w:b/>
          <w:bCs/>
          <w:szCs w:val="20"/>
          <w:lang w:eastAsia="en-US"/>
        </w:rPr>
        <w:t>Multa:</w:t>
      </w:r>
    </w:p>
    <w:p w:rsidR="00BB5A33" w:rsidRPr="00BB5A33" w:rsidRDefault="00BB5A33" w:rsidP="00F11C4F">
      <w:pPr>
        <w:numPr>
          <w:ilvl w:val="3"/>
          <w:numId w:val="5"/>
        </w:numPr>
        <w:tabs>
          <w:tab w:val="left" w:pos="426"/>
        </w:tabs>
        <w:ind w:left="0" w:firstLine="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B5A33" w:rsidRPr="00BB5A33" w:rsidRDefault="00BB5A33" w:rsidP="00F11C4F">
      <w:pPr>
        <w:numPr>
          <w:ilvl w:val="3"/>
          <w:numId w:val="5"/>
        </w:numPr>
        <w:tabs>
          <w:tab w:val="left" w:pos="426"/>
        </w:tabs>
        <w:ind w:left="0" w:firstLine="0"/>
        <w:jc w:val="both"/>
        <w:rPr>
          <w:rFonts w:ascii="Bookman Old Style" w:eastAsia="Calibri" w:hAnsi="Bookman Old Style" w:cs="Times New Roman"/>
          <w:iCs/>
          <w:szCs w:val="20"/>
          <w:lang w:eastAsia="en-US"/>
        </w:rPr>
      </w:pPr>
      <w:r w:rsidRPr="00BB5A33">
        <w:rPr>
          <w:rFonts w:ascii="Bookman Old Style" w:eastAsia="Calibri" w:hAnsi="Bookman Old Style" w:cs="Times New Roman"/>
          <w:iCs/>
          <w:szCs w:val="20"/>
          <w:lang w:eastAsia="en-US"/>
        </w:rPr>
        <w:t>Compensatória de 10% (dez por cento) sobre o valor do contrato, no caso de inexecução total do contrato.</w:t>
      </w:r>
    </w:p>
    <w:p w:rsidR="00BB5A33" w:rsidRPr="00BB5A33" w:rsidRDefault="00BB5A33" w:rsidP="00F11C4F">
      <w:pPr>
        <w:numPr>
          <w:ilvl w:val="3"/>
          <w:numId w:val="5"/>
        </w:numPr>
        <w:tabs>
          <w:tab w:val="left" w:pos="426"/>
        </w:tabs>
        <w:ind w:left="0" w:firstLine="0"/>
        <w:jc w:val="both"/>
        <w:rPr>
          <w:rFonts w:ascii="Bookman Old Style" w:eastAsia="Calibri" w:hAnsi="Bookman Old Style" w:cs="Times New Roman"/>
          <w:iCs/>
          <w:szCs w:val="20"/>
          <w:lang w:eastAsia="en-US"/>
        </w:rPr>
      </w:pPr>
      <w:r w:rsidRPr="00BB5A33">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BB5A33" w:rsidRPr="00BB5A33" w:rsidRDefault="00BB5A33" w:rsidP="00F11C4F">
      <w:pPr>
        <w:numPr>
          <w:ilvl w:val="1"/>
          <w:numId w:val="1"/>
        </w:numPr>
        <w:jc w:val="both"/>
        <w:rPr>
          <w:rFonts w:ascii="Bookman Old Style" w:eastAsia="Calibri" w:hAnsi="Bookman Old Style" w:cs="Times New Roman"/>
          <w:szCs w:val="20"/>
          <w:lang w:eastAsia="en-US"/>
        </w:rPr>
      </w:pPr>
      <w:bookmarkStart w:id="0" w:name="_Hlk78351618"/>
      <w:r w:rsidRPr="00BB5A33">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BB5A33" w:rsidRPr="00BB5A33" w:rsidRDefault="00BB5A33" w:rsidP="00F11C4F">
      <w:pPr>
        <w:numPr>
          <w:ilvl w:val="1"/>
          <w:numId w:val="1"/>
        </w:numPr>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Todas as sanções previstas neste Contrato poderão ser aplicadas cumulativamente com a multa (art. 156, §7º).</w:t>
      </w:r>
    </w:p>
    <w:p w:rsidR="00BB5A33" w:rsidRPr="00BB5A33" w:rsidRDefault="00BB5A33" w:rsidP="00F11C4F">
      <w:pPr>
        <w:numPr>
          <w:ilvl w:val="2"/>
          <w:numId w:val="1"/>
        </w:numPr>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BB5A33" w:rsidRPr="00BB5A33" w:rsidRDefault="00BB5A33" w:rsidP="00F11C4F">
      <w:pPr>
        <w:numPr>
          <w:ilvl w:val="2"/>
          <w:numId w:val="1"/>
        </w:numPr>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BB5A33" w:rsidRPr="00BB5A33" w:rsidRDefault="00BB5A33" w:rsidP="00F11C4F">
      <w:pPr>
        <w:numPr>
          <w:ilvl w:val="2"/>
          <w:numId w:val="1"/>
        </w:numPr>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BB5A33">
        <w:rPr>
          <w:rFonts w:ascii="Bookman Old Style" w:eastAsia="Calibri" w:hAnsi="Bookman Old Style" w:cs="Times New Roman"/>
          <w:i/>
          <w:iCs/>
          <w:szCs w:val="20"/>
          <w:lang w:eastAsia="en-US"/>
        </w:rPr>
        <w:t xml:space="preserve">05 (cinco) </w:t>
      </w:r>
      <w:r w:rsidRPr="00BB5A33">
        <w:rPr>
          <w:rFonts w:ascii="Bookman Old Style" w:eastAsia="Calibri" w:hAnsi="Bookman Old Style" w:cs="Times New Roman"/>
          <w:szCs w:val="20"/>
          <w:lang w:eastAsia="en-US"/>
        </w:rPr>
        <w:t>dias, a contar da data do recebimento da comunicação enviada pela autoridade competente.</w:t>
      </w:r>
    </w:p>
    <w:bookmarkEnd w:id="0"/>
    <w:p w:rsidR="00BB5A33" w:rsidRPr="00BB5A33" w:rsidRDefault="00BB5A33" w:rsidP="00F11C4F">
      <w:pPr>
        <w:numPr>
          <w:ilvl w:val="1"/>
          <w:numId w:val="1"/>
        </w:numPr>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BB5A33">
        <w:rPr>
          <w:rFonts w:ascii="Bookman Old Style" w:eastAsia="Calibri" w:hAnsi="Bookman Old Style" w:cs="Times New Roman"/>
          <w:b/>
          <w:bCs/>
          <w:szCs w:val="20"/>
          <w:lang w:eastAsia="en-US"/>
        </w:rPr>
        <w:t xml:space="preserve">caput </w:t>
      </w:r>
      <w:r w:rsidRPr="00BB5A33">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BB5A33" w:rsidRPr="00BB5A33" w:rsidRDefault="00BB5A33" w:rsidP="00F11C4F">
      <w:pPr>
        <w:numPr>
          <w:ilvl w:val="1"/>
          <w:numId w:val="1"/>
        </w:numPr>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Na aplicação das sanções serão considerados (art. 156, §1º)</w:t>
      </w:r>
    </w:p>
    <w:p w:rsidR="00BB5A33" w:rsidRPr="00BB5A33" w:rsidRDefault="00BB5A33" w:rsidP="00F11C4F">
      <w:pPr>
        <w:numPr>
          <w:ilvl w:val="0"/>
          <w:numId w:val="6"/>
        </w:numPr>
        <w:ind w:left="0" w:firstLine="0"/>
        <w:contextualSpacing/>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A natureza e a gravidade da infração cometida;</w:t>
      </w:r>
    </w:p>
    <w:p w:rsidR="00BB5A33" w:rsidRPr="00BB5A33" w:rsidRDefault="00BB5A33" w:rsidP="00F11C4F">
      <w:pPr>
        <w:numPr>
          <w:ilvl w:val="0"/>
          <w:numId w:val="6"/>
        </w:numPr>
        <w:ind w:left="0" w:firstLine="0"/>
        <w:contextualSpacing/>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As peculiaridades do caso concreto;</w:t>
      </w:r>
    </w:p>
    <w:p w:rsidR="00BB5A33" w:rsidRPr="00BB5A33" w:rsidRDefault="00BB5A33" w:rsidP="00F11C4F">
      <w:pPr>
        <w:numPr>
          <w:ilvl w:val="0"/>
          <w:numId w:val="6"/>
        </w:numPr>
        <w:ind w:left="0" w:firstLine="0"/>
        <w:contextualSpacing/>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As circunstâncias agravantes ou atenuantes;</w:t>
      </w:r>
    </w:p>
    <w:p w:rsidR="00BB5A33" w:rsidRPr="00BB5A33" w:rsidRDefault="00BB5A33" w:rsidP="00F11C4F">
      <w:pPr>
        <w:numPr>
          <w:ilvl w:val="0"/>
          <w:numId w:val="6"/>
        </w:numPr>
        <w:ind w:left="0" w:firstLine="0"/>
        <w:contextualSpacing/>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Os danos que dela provierem para o Contratante;</w:t>
      </w:r>
    </w:p>
    <w:p w:rsidR="00BB5A33" w:rsidRPr="00BB5A33" w:rsidRDefault="00BB5A33" w:rsidP="00F11C4F">
      <w:pPr>
        <w:numPr>
          <w:ilvl w:val="0"/>
          <w:numId w:val="6"/>
        </w:numPr>
        <w:ind w:left="0" w:firstLine="0"/>
        <w:contextualSpacing/>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A implantação ou o aperfeiçoamento de programa de integridade, conforme normas e orientações dos órgãos de controle.</w:t>
      </w:r>
    </w:p>
    <w:p w:rsidR="00BB5A33" w:rsidRPr="00BB5A33" w:rsidRDefault="00BB5A33" w:rsidP="00F11C4F">
      <w:pPr>
        <w:numPr>
          <w:ilvl w:val="1"/>
          <w:numId w:val="1"/>
        </w:numPr>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BB5A33" w:rsidRPr="00BB5A33" w:rsidRDefault="00BB5A33" w:rsidP="00F11C4F">
      <w:pPr>
        <w:numPr>
          <w:ilvl w:val="1"/>
          <w:numId w:val="1"/>
        </w:numPr>
        <w:jc w:val="both"/>
        <w:rPr>
          <w:rFonts w:ascii="Bookman Old Style" w:eastAsia="Calibri" w:hAnsi="Bookman Old Style" w:cs="Times New Roman"/>
          <w:i/>
          <w:szCs w:val="20"/>
          <w:lang w:eastAsia="en-US"/>
        </w:rPr>
      </w:pPr>
      <w:r w:rsidRPr="00BB5A33">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BB5A33" w:rsidRPr="00BB5A33" w:rsidRDefault="00BB5A33" w:rsidP="00F11C4F">
      <w:pPr>
        <w:numPr>
          <w:ilvl w:val="1"/>
          <w:numId w:val="1"/>
        </w:numPr>
        <w:jc w:val="both"/>
        <w:rPr>
          <w:rFonts w:ascii="Bookman Old Style" w:eastAsia="Calibri" w:hAnsi="Bookman Old Style" w:cs="Times New Roman"/>
          <w:i/>
          <w:szCs w:val="20"/>
          <w:lang w:eastAsia="en-US"/>
        </w:rPr>
      </w:pPr>
      <w:r w:rsidRPr="00BB5A33">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B5A33">
        <w:rPr>
          <w:rFonts w:ascii="Bookman Old Style" w:eastAsia="Calibri" w:hAnsi="Bookman Old Style" w:cs="Times New Roman"/>
          <w:szCs w:val="20"/>
          <w:lang w:eastAsia="en-US"/>
        </w:rPr>
        <w:t>Ceis</w:t>
      </w:r>
      <w:proofErr w:type="spellEnd"/>
      <w:r w:rsidRPr="00BB5A33">
        <w:rPr>
          <w:rFonts w:ascii="Bookman Old Style" w:eastAsia="Calibri" w:hAnsi="Bookman Old Style" w:cs="Times New Roman"/>
          <w:szCs w:val="20"/>
          <w:lang w:eastAsia="en-US"/>
        </w:rPr>
        <w:t>) e no Cadastro Nacional de Empresas Punidas (</w:t>
      </w:r>
      <w:proofErr w:type="spellStart"/>
      <w:r w:rsidRPr="00BB5A33">
        <w:rPr>
          <w:rFonts w:ascii="Bookman Old Style" w:eastAsia="Calibri" w:hAnsi="Bookman Old Style" w:cs="Times New Roman"/>
          <w:szCs w:val="20"/>
          <w:lang w:eastAsia="en-US"/>
        </w:rPr>
        <w:t>Cnep</w:t>
      </w:r>
      <w:proofErr w:type="spellEnd"/>
      <w:r w:rsidRPr="00BB5A33">
        <w:rPr>
          <w:rFonts w:ascii="Bookman Old Style" w:eastAsia="Calibri" w:hAnsi="Bookman Old Style" w:cs="Times New Roman"/>
          <w:szCs w:val="20"/>
          <w:lang w:eastAsia="en-US"/>
        </w:rPr>
        <w:t>), instituídos no âmbito do Poder Executivo Federal. (Art. 161)</w:t>
      </w:r>
    </w:p>
    <w:p w:rsidR="00BB5A33" w:rsidRPr="00BB5A33" w:rsidRDefault="00BB5A33" w:rsidP="00F11C4F">
      <w:pPr>
        <w:numPr>
          <w:ilvl w:val="1"/>
          <w:numId w:val="1"/>
        </w:numPr>
        <w:jc w:val="both"/>
        <w:rPr>
          <w:rFonts w:ascii="Bookman Old Style" w:eastAsia="Calibri" w:hAnsi="Bookman Old Style" w:cs="Times New Roman"/>
          <w:i/>
          <w:szCs w:val="20"/>
          <w:lang w:eastAsia="en-US"/>
        </w:rPr>
      </w:pPr>
      <w:r w:rsidRPr="00BB5A33">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lastRenderedPageBreak/>
        <w:t>CLÁUSULA DÉCIMA PRIMEIRA– DA EXTINÇÃO CONTRATUAL (art. 92, XIX)</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iCs/>
          <w:szCs w:val="20"/>
          <w:lang w:eastAsia="en-US"/>
        </w:rPr>
      </w:pPr>
      <w:r w:rsidRPr="00BB5A33">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iCs/>
          <w:szCs w:val="20"/>
          <w:lang w:eastAsia="en-US"/>
        </w:rPr>
      </w:pPr>
      <w:r w:rsidRPr="00BB5A33">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BB5A33" w:rsidRPr="00BB5A33" w:rsidRDefault="00BB5A33" w:rsidP="00BB5A3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B5A33">
        <w:rPr>
          <w:rFonts w:ascii="Bookman Old Style" w:eastAsia="Calibri" w:hAnsi="Bookman Old Style" w:cs="Times New Roman"/>
          <w:iCs/>
          <w:szCs w:val="20"/>
          <w:lang w:eastAsia="en-US"/>
        </w:rPr>
        <w:t>Quando a não conclusão do contrato referida no item anterior decorrer de culpa do contratado:</w:t>
      </w:r>
    </w:p>
    <w:p w:rsidR="00BB5A33" w:rsidRPr="00BB5A33" w:rsidRDefault="00BB5A33" w:rsidP="00BB5A3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BB5A33">
        <w:rPr>
          <w:rFonts w:ascii="Bookman Old Style" w:eastAsia="Calibri" w:hAnsi="Bookman Old Style" w:cs="Times New Roman"/>
          <w:iCs/>
          <w:szCs w:val="20"/>
          <w:lang w:eastAsia="en-US"/>
        </w:rPr>
        <w:t xml:space="preserve">Ficará ele constituído em mora, sendo-lhe aplicáveis as respectivas sanções administrativas; e  </w:t>
      </w:r>
    </w:p>
    <w:p w:rsidR="00BB5A33" w:rsidRPr="00BB5A33" w:rsidRDefault="00BB5A33" w:rsidP="00BB5A3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BB5A33">
        <w:rPr>
          <w:rFonts w:ascii="Bookman Old Style" w:eastAsia="Calibri" w:hAnsi="Bookman Old Style" w:cs="Times New Roman"/>
          <w:iCs/>
          <w:szCs w:val="20"/>
          <w:lang w:eastAsia="en-US"/>
        </w:rPr>
        <w:t>Poderá a Administração optar pela extinção do contrato e, nesse caso, adotará as medidas admitidas em lei para a continuidade da execução contratual.</w:t>
      </w:r>
    </w:p>
    <w:p w:rsidR="00BB5A33" w:rsidRPr="00BB5A33" w:rsidRDefault="00BB5A33" w:rsidP="00BB5A33">
      <w:pPr>
        <w:numPr>
          <w:ilvl w:val="1"/>
          <w:numId w:val="8"/>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BB5A33">
        <w:rPr>
          <w:rFonts w:ascii="Bookman Old Style" w:eastAsia="Calibri" w:hAnsi="Bookman Old Style" w:cs="Times New Roman"/>
          <w:color w:val="000000"/>
          <w:szCs w:val="20"/>
          <w:lang w:eastAsia="en-US"/>
        </w:rPr>
        <w:t>assegurados o contraditório e a ampla defesa</w:t>
      </w:r>
      <w:r w:rsidRPr="00BB5A33">
        <w:rPr>
          <w:rFonts w:ascii="Bookman Old Style" w:eastAsia="Calibri" w:hAnsi="Bookman Old Style" w:cs="Times New Roman"/>
          <w:szCs w:val="20"/>
          <w:lang w:eastAsia="en-US"/>
        </w:rPr>
        <w:t>.</w:t>
      </w:r>
    </w:p>
    <w:p w:rsidR="00BB5A33" w:rsidRPr="00BB5A33" w:rsidRDefault="00BB5A33" w:rsidP="00BB5A33">
      <w:pPr>
        <w:numPr>
          <w:ilvl w:val="2"/>
          <w:numId w:val="8"/>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Nesta hipótese, aplicam-se também os artigos 138 e 139 da mesma Lei.</w:t>
      </w:r>
    </w:p>
    <w:p w:rsidR="00BB5A33" w:rsidRPr="00BB5A33" w:rsidRDefault="00BB5A33" w:rsidP="00BB5A33">
      <w:pPr>
        <w:numPr>
          <w:ilvl w:val="2"/>
          <w:numId w:val="8"/>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A </w:t>
      </w:r>
      <w:r w:rsidRPr="00BB5A33">
        <w:rPr>
          <w:rFonts w:ascii="Bookman Old Style" w:eastAsia="Calibri" w:hAnsi="Bookman Old Style" w:cs="Times New Roman"/>
          <w:color w:val="000000"/>
          <w:szCs w:val="20"/>
          <w:lang w:eastAsia="en-US"/>
        </w:rPr>
        <w:t>alteração social ou a modificação da finalidade ou da estrutura da empresa</w:t>
      </w:r>
      <w:r w:rsidRPr="00BB5A33">
        <w:rPr>
          <w:rFonts w:ascii="Bookman Old Style" w:eastAsia="Calibri" w:hAnsi="Bookman Old Style" w:cs="Times New Roman"/>
          <w:szCs w:val="20"/>
          <w:lang w:eastAsia="en-US"/>
        </w:rPr>
        <w:t xml:space="preserve"> não ensejará a rescisão se não </w:t>
      </w:r>
      <w:r w:rsidRPr="00BB5A33">
        <w:rPr>
          <w:rFonts w:ascii="Bookman Old Style" w:eastAsia="Calibri" w:hAnsi="Bookman Old Style" w:cs="Times New Roman"/>
          <w:color w:val="000000"/>
          <w:szCs w:val="20"/>
          <w:lang w:eastAsia="en-US"/>
        </w:rPr>
        <w:t>restringir sua capacidade de concluir o contrato.</w:t>
      </w:r>
    </w:p>
    <w:p w:rsidR="00BB5A33" w:rsidRPr="00BB5A33" w:rsidRDefault="00BB5A33" w:rsidP="00BB5A33">
      <w:pPr>
        <w:numPr>
          <w:ilvl w:val="3"/>
          <w:numId w:val="8"/>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color w:val="000000"/>
          <w:szCs w:val="20"/>
          <w:lang w:eastAsia="en-US"/>
        </w:rPr>
        <w:t xml:space="preserve">Se a operação </w:t>
      </w:r>
      <w:r w:rsidRPr="00BB5A33">
        <w:rPr>
          <w:rFonts w:ascii="Bookman Old Style" w:eastAsia="Calibri" w:hAnsi="Bookman Old Style" w:cs="Times New Roman"/>
          <w:szCs w:val="20"/>
          <w:lang w:eastAsia="en-US"/>
        </w:rPr>
        <w:t>implicar mudança da pessoa jurídica contratada, deverá ser formalizado termo aditivo para alteração subjetiva.</w:t>
      </w:r>
    </w:p>
    <w:p w:rsidR="00BB5A33" w:rsidRPr="00BB5A33" w:rsidRDefault="00BB5A33" w:rsidP="00BB5A33">
      <w:pPr>
        <w:numPr>
          <w:ilvl w:val="1"/>
          <w:numId w:val="8"/>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O termo de rescisão, sempre que possível, será precedido:</w:t>
      </w:r>
    </w:p>
    <w:p w:rsidR="00BB5A33" w:rsidRPr="00BB5A33" w:rsidRDefault="00BB5A33" w:rsidP="00BB5A33">
      <w:pPr>
        <w:numPr>
          <w:ilvl w:val="2"/>
          <w:numId w:val="8"/>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Balanço dos eventos contratuais já cumpridos ou parcialmente cumpridos;</w:t>
      </w:r>
    </w:p>
    <w:p w:rsidR="00BB5A33" w:rsidRPr="00BB5A33" w:rsidRDefault="00BB5A33" w:rsidP="00BB5A33">
      <w:pPr>
        <w:numPr>
          <w:ilvl w:val="2"/>
          <w:numId w:val="8"/>
        </w:numPr>
        <w:spacing w:before="120" w:after="120" w:line="276" w:lineRule="auto"/>
        <w:ind w:left="0"/>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Relação dos pagamentos já efetuados e ainda devidos;</w:t>
      </w:r>
    </w:p>
    <w:p w:rsidR="00BB5A33" w:rsidRPr="00BB5A33" w:rsidRDefault="00BB5A33" w:rsidP="00BB5A33">
      <w:pPr>
        <w:numPr>
          <w:ilvl w:val="2"/>
          <w:numId w:val="8"/>
        </w:numPr>
        <w:spacing w:before="120" w:after="120" w:line="276" w:lineRule="auto"/>
        <w:ind w:left="0"/>
        <w:jc w:val="both"/>
        <w:rPr>
          <w:rFonts w:ascii="Bookman Old Style" w:eastAsia="Calibri" w:hAnsi="Bookman Old Style" w:cs="Times New Roman"/>
          <w:szCs w:val="20"/>
        </w:rPr>
      </w:pPr>
      <w:r w:rsidRPr="00BB5A33">
        <w:rPr>
          <w:rFonts w:ascii="Bookman Old Style" w:eastAsia="Calibri" w:hAnsi="Bookman Old Style" w:cs="Times New Roman"/>
          <w:szCs w:val="20"/>
          <w:lang w:eastAsia="en-US"/>
        </w:rPr>
        <w:t>Indenizações e multas.</w:t>
      </w:r>
    </w:p>
    <w:p w:rsidR="00BB5A33" w:rsidRPr="00BB5A33" w:rsidRDefault="00BB5A33" w:rsidP="00BB5A33">
      <w:pPr>
        <w:pStyle w:val="Nivel01Titulo"/>
        <w:numPr>
          <w:ilvl w:val="0"/>
          <w:numId w:val="8"/>
        </w:numPr>
        <w:rPr>
          <w:rFonts w:ascii="Bookman Old Style" w:hAnsi="Bookman Old Style"/>
          <w:color w:val="auto"/>
        </w:rPr>
      </w:pPr>
      <w:r w:rsidRPr="00BB5A33">
        <w:rPr>
          <w:rFonts w:ascii="Bookman Old Style" w:hAnsi="Bookman Old Style"/>
          <w:color w:val="auto"/>
        </w:rPr>
        <w:t>CLÁUSULA DÉCIMA SEGUNDA – DOTAÇÃO ORÇAMENTÁRIA (art. 92, VIII)</w:t>
      </w:r>
    </w:p>
    <w:p w:rsidR="00BB5A33" w:rsidRPr="00BB5A33" w:rsidRDefault="00BB5A33" w:rsidP="00BB5A33">
      <w:pPr>
        <w:numPr>
          <w:ilvl w:val="1"/>
          <w:numId w:val="8"/>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As despesas decorrentes da presente contratação correrão à conta de recursos específicos consignados no Orçamento da Secretaria de </w:t>
      </w:r>
      <w:r w:rsidR="004866DA">
        <w:rPr>
          <w:rFonts w:ascii="Bookman Old Style" w:eastAsia="Calibri" w:hAnsi="Bookman Old Style" w:cs="Times New Roman"/>
          <w:szCs w:val="20"/>
          <w:lang w:eastAsia="en-US"/>
        </w:rPr>
        <w:t>Obras e Serviços Públicos</w:t>
      </w:r>
      <w:r w:rsidRPr="00BB5A33">
        <w:rPr>
          <w:rFonts w:ascii="Bookman Old Style" w:eastAsia="Calibri" w:hAnsi="Bookman Old Style" w:cs="Times New Roman"/>
          <w:szCs w:val="20"/>
          <w:lang w:eastAsia="en-US"/>
        </w:rPr>
        <w:t xml:space="preserv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410"/>
        <w:gridCol w:w="1701"/>
        <w:gridCol w:w="2126"/>
        <w:gridCol w:w="1225"/>
      </w:tblGrid>
      <w:tr w:rsidR="00F11C4F" w:rsidRPr="00F11C4F" w:rsidTr="00F11C4F">
        <w:tc>
          <w:tcPr>
            <w:tcW w:w="9730" w:type="dxa"/>
            <w:gridSpan w:val="5"/>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DOTAÇÕES</w:t>
            </w:r>
          </w:p>
        </w:tc>
      </w:tr>
      <w:tr w:rsidR="00F11C4F" w:rsidRPr="00F11C4F" w:rsidTr="00F11C4F">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Conta da despesa</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Fonte de recurso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Grupo da fonte</w:t>
            </w:r>
          </w:p>
        </w:tc>
      </w:tr>
      <w:tr w:rsidR="00F11C4F" w:rsidRPr="00F11C4F" w:rsidTr="00F11C4F">
        <w:tc>
          <w:tcPr>
            <w:tcW w:w="2268"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1300</w:t>
            </w:r>
          </w:p>
        </w:tc>
        <w:tc>
          <w:tcPr>
            <w:tcW w:w="2410"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05.005.26.782.2601.2020</w:t>
            </w:r>
          </w:p>
        </w:tc>
        <w:tc>
          <w:tcPr>
            <w:tcW w:w="1701"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0</w:t>
            </w:r>
          </w:p>
        </w:tc>
        <w:tc>
          <w:tcPr>
            <w:tcW w:w="2126"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3.3.90.30.00.00</w:t>
            </w:r>
          </w:p>
        </w:tc>
        <w:tc>
          <w:tcPr>
            <w:tcW w:w="1225" w:type="dxa"/>
            <w:tcBorders>
              <w:top w:val="single" w:sz="6" w:space="0" w:color="000000"/>
              <w:left w:val="single" w:sz="6" w:space="0" w:color="000000"/>
              <w:bottom w:val="single" w:sz="6" w:space="0" w:color="000000"/>
              <w:right w:val="single" w:sz="6" w:space="0" w:color="000000"/>
            </w:tcBorders>
          </w:tcPr>
          <w:p w:rsidR="00F11C4F" w:rsidRPr="00F11C4F" w:rsidRDefault="00F11C4F">
            <w:pPr>
              <w:pStyle w:val="ParagraphStyle"/>
              <w:rPr>
                <w:rFonts w:ascii="Bookman Old Style" w:hAnsi="Bookman Old Style"/>
                <w:sz w:val="16"/>
                <w:szCs w:val="20"/>
              </w:rPr>
            </w:pPr>
            <w:r w:rsidRPr="00F11C4F">
              <w:rPr>
                <w:rFonts w:ascii="Bookman Old Style" w:hAnsi="Bookman Old Style"/>
                <w:sz w:val="16"/>
                <w:szCs w:val="20"/>
              </w:rPr>
              <w:t>Do Exercício</w:t>
            </w:r>
          </w:p>
        </w:tc>
      </w:tr>
    </w:tbl>
    <w:p w:rsidR="00BB5A33" w:rsidRPr="00BB5A33" w:rsidRDefault="00F11C4F" w:rsidP="00BB5A33">
      <w:pPr>
        <w:pStyle w:val="Nivel01Titulo"/>
        <w:numPr>
          <w:ilvl w:val="0"/>
          <w:numId w:val="8"/>
        </w:numPr>
        <w:rPr>
          <w:rFonts w:ascii="Bookman Old Style" w:hAnsi="Bookman Old Style"/>
          <w:color w:val="auto"/>
        </w:rPr>
      </w:pPr>
      <w:r w:rsidRPr="00BB5A33">
        <w:rPr>
          <w:rFonts w:ascii="Bookman Old Style" w:hAnsi="Bookman Old Style"/>
          <w:color w:val="auto"/>
        </w:rPr>
        <w:t xml:space="preserve"> </w:t>
      </w:r>
      <w:r w:rsidR="00BB5A33" w:rsidRPr="00BB5A33">
        <w:rPr>
          <w:rFonts w:ascii="Bookman Old Style" w:hAnsi="Bookman Old Style"/>
          <w:color w:val="auto"/>
        </w:rPr>
        <w:t>CASOS OMISSOS (art. 92, III)</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i/>
          <w:szCs w:val="20"/>
          <w:lang w:eastAsia="en-US"/>
        </w:rPr>
      </w:pPr>
      <w:r w:rsidRPr="00BB5A33">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DÉCIMA QUARTA – ALTERAÇÕES</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Eventuais alterações contratuais reger-se-ão pela disciplina dos </w:t>
      </w:r>
      <w:proofErr w:type="spellStart"/>
      <w:r w:rsidRPr="00BB5A33">
        <w:rPr>
          <w:rFonts w:ascii="Bookman Old Style" w:eastAsia="Calibri" w:hAnsi="Bookman Old Style" w:cs="Times New Roman"/>
          <w:szCs w:val="20"/>
          <w:lang w:eastAsia="en-US"/>
        </w:rPr>
        <w:t>arts</w:t>
      </w:r>
      <w:proofErr w:type="spellEnd"/>
      <w:r w:rsidRPr="00BB5A33">
        <w:rPr>
          <w:rFonts w:ascii="Bookman Old Style" w:eastAsia="Calibri" w:hAnsi="Bookman Old Style" w:cs="Times New Roman"/>
          <w:szCs w:val="20"/>
          <w:lang w:eastAsia="en-US"/>
        </w:rPr>
        <w:t>. 124 e seguintes da Lei nº 14.133, de 2021.</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lastRenderedPageBreak/>
        <w:t>O Contratado é obrigado a aceitar, nas mesmas condições contratuais, os acréscimos ou supressões que se fizerem necessários, até o limite de 25% (vinte e cinco por cento) do valor inicial atualizado do contrato.</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DÉCIMA QUINTA – PUBLICAÇÃO</w:t>
      </w:r>
    </w:p>
    <w:p w:rsidR="00BB5A33" w:rsidRP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BB5A33" w:rsidRPr="00BB5A33" w:rsidRDefault="00BB5A33" w:rsidP="00BB5A33">
      <w:pPr>
        <w:pStyle w:val="Nivel01Titulo"/>
        <w:tabs>
          <w:tab w:val="clear" w:pos="360"/>
        </w:tabs>
        <w:ind w:left="360" w:hanging="360"/>
        <w:rPr>
          <w:rFonts w:ascii="Bookman Old Style" w:hAnsi="Bookman Old Style"/>
          <w:color w:val="auto"/>
        </w:rPr>
      </w:pPr>
      <w:r w:rsidRPr="00BB5A33">
        <w:rPr>
          <w:rFonts w:ascii="Bookman Old Style" w:hAnsi="Bookman Old Style"/>
          <w:color w:val="auto"/>
        </w:rPr>
        <w:t>CLÁUSULA DÉCIMA SEXTA – FORO (art. 92, §1º)</w:t>
      </w:r>
    </w:p>
    <w:p w:rsidR="00BB5A33" w:rsidRDefault="00BB5A33" w:rsidP="00BB5A33">
      <w:pPr>
        <w:numPr>
          <w:ilvl w:val="1"/>
          <w:numId w:val="1"/>
        </w:numPr>
        <w:spacing w:before="120" w:after="120" w:line="276" w:lineRule="auto"/>
        <w:jc w:val="both"/>
        <w:rPr>
          <w:rFonts w:ascii="Bookman Old Style" w:eastAsia="Calibri" w:hAnsi="Bookman Old Style" w:cs="Times New Roman"/>
          <w:szCs w:val="20"/>
          <w:lang w:eastAsia="en-US"/>
        </w:rPr>
      </w:pPr>
      <w:r w:rsidRPr="00BB5A33">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F11C4F" w:rsidRPr="00BB5A33" w:rsidRDefault="00F11C4F" w:rsidP="00F11C4F">
      <w:pPr>
        <w:spacing w:before="120" w:after="120" w:line="276" w:lineRule="auto"/>
        <w:jc w:val="both"/>
        <w:rPr>
          <w:rFonts w:ascii="Bookman Old Style" w:eastAsia="Calibri" w:hAnsi="Bookman Old Style" w:cs="Times New Roman"/>
          <w:szCs w:val="20"/>
          <w:lang w:eastAsia="en-US"/>
        </w:rPr>
      </w:pPr>
    </w:p>
    <w:p w:rsidR="00BB5A33" w:rsidRPr="00F11C4F" w:rsidRDefault="00BB5A33" w:rsidP="00BB5A33">
      <w:pPr>
        <w:autoSpaceDE w:val="0"/>
        <w:autoSpaceDN w:val="0"/>
        <w:adjustRightInd w:val="0"/>
        <w:jc w:val="both"/>
        <w:rPr>
          <w:rFonts w:ascii="Bookman Old Style" w:eastAsiaTheme="minorHAnsi" w:hAnsi="Bookman Old Style" w:cs="Times New Roman"/>
          <w:color w:val="000000"/>
          <w:szCs w:val="20"/>
          <w:lang w:eastAsia="en-US"/>
        </w:rPr>
      </w:pPr>
      <w:r w:rsidRPr="00BB5A33">
        <w:rPr>
          <w:rFonts w:ascii="Bookman Old Style" w:eastAsiaTheme="minorHAnsi" w:hAnsi="Bookman Old Style" w:cs="Times New Roman"/>
          <w:color w:val="000000"/>
          <w:szCs w:val="20"/>
          <w:lang w:val="x-none" w:eastAsia="en-US"/>
        </w:rPr>
        <w:t xml:space="preserve">Santo Antonio </w:t>
      </w:r>
      <w:r w:rsidRPr="00F11C4F">
        <w:rPr>
          <w:rFonts w:ascii="Bookman Old Style" w:eastAsiaTheme="minorHAnsi" w:hAnsi="Bookman Old Style" w:cs="Times New Roman"/>
          <w:color w:val="000000"/>
          <w:szCs w:val="20"/>
          <w:lang w:val="x-none" w:eastAsia="en-US"/>
        </w:rPr>
        <w:t xml:space="preserve">do Sudoeste – PR, </w:t>
      </w:r>
      <w:r w:rsidR="00F11C4F" w:rsidRPr="00F11C4F">
        <w:rPr>
          <w:rFonts w:ascii="Bookman Old Style" w:eastAsiaTheme="minorHAnsi" w:hAnsi="Bookman Old Style" w:cs="Times New Roman"/>
          <w:color w:val="000000"/>
          <w:szCs w:val="20"/>
          <w:lang w:eastAsia="en-US"/>
        </w:rPr>
        <w:t>05</w:t>
      </w:r>
      <w:r w:rsidRPr="00F11C4F">
        <w:rPr>
          <w:rFonts w:ascii="Bookman Old Style" w:eastAsiaTheme="minorHAnsi" w:hAnsi="Bookman Old Style" w:cs="Times New Roman"/>
          <w:color w:val="000000"/>
          <w:szCs w:val="20"/>
          <w:lang w:eastAsia="en-US"/>
        </w:rPr>
        <w:t xml:space="preserve"> de </w:t>
      </w:r>
      <w:r w:rsidR="00F11C4F" w:rsidRPr="00F11C4F">
        <w:rPr>
          <w:rFonts w:ascii="Bookman Old Style" w:eastAsiaTheme="minorHAnsi" w:hAnsi="Bookman Old Style" w:cs="Times New Roman"/>
          <w:color w:val="000000"/>
          <w:szCs w:val="20"/>
          <w:lang w:eastAsia="en-US"/>
        </w:rPr>
        <w:t>março</w:t>
      </w:r>
      <w:r w:rsidRPr="00F11C4F">
        <w:rPr>
          <w:rFonts w:ascii="Bookman Old Style" w:eastAsiaTheme="minorHAnsi" w:hAnsi="Bookman Old Style" w:cs="Times New Roman"/>
          <w:color w:val="000000"/>
          <w:szCs w:val="20"/>
          <w:lang w:eastAsia="en-US"/>
        </w:rPr>
        <w:t xml:space="preserve"> de 2024.</w:t>
      </w:r>
    </w:p>
    <w:p w:rsidR="00BB5A33" w:rsidRPr="00F11C4F" w:rsidRDefault="00BB5A33" w:rsidP="00BB5A33">
      <w:pPr>
        <w:autoSpaceDE w:val="0"/>
        <w:autoSpaceDN w:val="0"/>
        <w:adjustRightInd w:val="0"/>
        <w:jc w:val="both"/>
        <w:rPr>
          <w:rFonts w:ascii="Bookman Old Style" w:eastAsiaTheme="minorHAnsi" w:hAnsi="Bookman Old Style" w:cs="Times New Roman"/>
          <w:color w:val="000000"/>
          <w:szCs w:val="20"/>
          <w:lang w:eastAsia="en-US"/>
        </w:rPr>
      </w:pPr>
    </w:p>
    <w:p w:rsidR="00BB5A33" w:rsidRDefault="00BB5A33" w:rsidP="00BB5A33">
      <w:pPr>
        <w:autoSpaceDE w:val="0"/>
        <w:autoSpaceDN w:val="0"/>
        <w:adjustRightInd w:val="0"/>
        <w:jc w:val="both"/>
        <w:rPr>
          <w:rFonts w:ascii="Bookman Old Style" w:eastAsiaTheme="minorHAnsi" w:hAnsi="Bookman Old Style" w:cs="Times New Roman"/>
          <w:color w:val="000000"/>
          <w:szCs w:val="20"/>
          <w:lang w:eastAsia="en-US"/>
        </w:rPr>
      </w:pPr>
    </w:p>
    <w:p w:rsidR="00F11C4F" w:rsidRDefault="00F11C4F" w:rsidP="00BB5A33">
      <w:pPr>
        <w:autoSpaceDE w:val="0"/>
        <w:autoSpaceDN w:val="0"/>
        <w:adjustRightInd w:val="0"/>
        <w:jc w:val="both"/>
        <w:rPr>
          <w:rFonts w:ascii="Bookman Old Style" w:eastAsiaTheme="minorHAnsi" w:hAnsi="Bookman Old Style" w:cs="Times New Roman"/>
          <w:color w:val="000000"/>
          <w:szCs w:val="20"/>
          <w:lang w:eastAsia="en-US"/>
        </w:rPr>
      </w:pPr>
    </w:p>
    <w:p w:rsidR="00F11C4F" w:rsidRDefault="00F11C4F" w:rsidP="00BB5A33">
      <w:pPr>
        <w:autoSpaceDE w:val="0"/>
        <w:autoSpaceDN w:val="0"/>
        <w:adjustRightInd w:val="0"/>
        <w:jc w:val="both"/>
        <w:rPr>
          <w:rFonts w:ascii="Bookman Old Style" w:eastAsiaTheme="minorHAnsi" w:hAnsi="Bookman Old Style" w:cs="Times New Roman"/>
          <w:color w:val="000000"/>
          <w:szCs w:val="20"/>
          <w:lang w:eastAsia="en-US"/>
        </w:rPr>
      </w:pPr>
    </w:p>
    <w:p w:rsidR="00F11C4F" w:rsidRDefault="00F11C4F" w:rsidP="00BB5A33">
      <w:pPr>
        <w:autoSpaceDE w:val="0"/>
        <w:autoSpaceDN w:val="0"/>
        <w:adjustRightInd w:val="0"/>
        <w:jc w:val="both"/>
        <w:rPr>
          <w:rFonts w:ascii="Bookman Old Style" w:eastAsiaTheme="minorHAnsi" w:hAnsi="Bookman Old Style" w:cs="Times New Roman"/>
          <w:color w:val="000000"/>
          <w:szCs w:val="20"/>
          <w:lang w:eastAsia="en-US"/>
        </w:rPr>
      </w:pPr>
    </w:p>
    <w:p w:rsidR="00F11C4F" w:rsidRPr="00BB5A33" w:rsidRDefault="00F11C4F" w:rsidP="00F11C4F">
      <w:pPr>
        <w:autoSpaceDE w:val="0"/>
        <w:autoSpaceDN w:val="0"/>
        <w:adjustRightInd w:val="0"/>
        <w:jc w:val="center"/>
        <w:rPr>
          <w:rFonts w:ascii="Bookman Old Style" w:eastAsiaTheme="minorHAnsi" w:hAnsi="Bookman Old Style" w:cs="Times New Roman"/>
          <w:color w:val="000000"/>
          <w:szCs w:val="20"/>
          <w:lang w:eastAsia="en-US"/>
        </w:rPr>
      </w:pPr>
      <w:r>
        <w:rPr>
          <w:rFonts w:ascii="Bookman Old Style" w:eastAsiaTheme="minorHAnsi" w:hAnsi="Bookman Old Style" w:cs="Times New Roman"/>
          <w:color w:val="000000"/>
          <w:szCs w:val="20"/>
          <w:lang w:eastAsia="en-US"/>
        </w:rPr>
        <w:t>___________________________________</w:t>
      </w:r>
    </w:p>
    <w:p w:rsidR="00F11C4F" w:rsidRPr="00F11C4F" w:rsidRDefault="00F11C4F" w:rsidP="00F11C4F">
      <w:pPr>
        <w:pStyle w:val="Centered"/>
        <w:rPr>
          <w:rFonts w:ascii="Bookman Old Style" w:hAnsi="Bookman Old Style" w:cs="Bookman Old Style"/>
          <w:b/>
          <w:color w:val="000000"/>
          <w:sz w:val="20"/>
          <w:szCs w:val="20"/>
          <w:lang w:val="pt-BR"/>
        </w:rPr>
      </w:pPr>
      <w:r w:rsidRPr="00F11C4F">
        <w:rPr>
          <w:rFonts w:ascii="Bookman Old Style" w:hAnsi="Bookman Old Style" w:cs="Bookman Old Style"/>
          <w:b/>
          <w:color w:val="000000"/>
          <w:sz w:val="20"/>
          <w:szCs w:val="20"/>
          <w:lang w:val="pt-BR"/>
        </w:rPr>
        <w:t>SÉRGIO ANTONIO DE MATTOS</w:t>
      </w:r>
    </w:p>
    <w:p w:rsidR="00F11C4F" w:rsidRPr="00F11C4F" w:rsidRDefault="00F11C4F" w:rsidP="00F11C4F">
      <w:pPr>
        <w:pStyle w:val="Centered"/>
        <w:rPr>
          <w:rFonts w:ascii="Bookman Old Style" w:hAnsi="Bookman Old Style" w:cs="Bookman Old Style"/>
          <w:sz w:val="20"/>
          <w:szCs w:val="20"/>
          <w:lang w:val="pt-BR"/>
        </w:rPr>
      </w:pPr>
      <w:r>
        <w:rPr>
          <w:rFonts w:ascii="Bookman Old Style" w:hAnsi="Bookman Old Style" w:cs="Bookman Old Style"/>
          <w:sz w:val="20"/>
          <w:szCs w:val="20"/>
        </w:rPr>
        <w:t xml:space="preserve">Prefeito Municipal </w:t>
      </w:r>
      <w:r>
        <w:rPr>
          <w:rFonts w:ascii="Bookman Old Style" w:hAnsi="Bookman Old Style" w:cs="Bookman Old Style"/>
          <w:sz w:val="20"/>
          <w:szCs w:val="20"/>
          <w:lang w:val="pt-BR"/>
        </w:rPr>
        <w:t>em Exercício</w:t>
      </w:r>
    </w:p>
    <w:p w:rsidR="00F11C4F" w:rsidRDefault="00F11C4F" w:rsidP="00F11C4F">
      <w:pPr>
        <w:pStyle w:val="ParagraphStyle"/>
        <w:tabs>
          <w:tab w:val="left" w:pos="6810"/>
        </w:tabs>
        <w:ind w:firstLine="855"/>
        <w:jc w:val="center"/>
        <w:rPr>
          <w:rFonts w:ascii="Bookman Old Style" w:hAnsi="Bookman Old Style" w:cs="Bookman Old Style"/>
          <w:sz w:val="20"/>
          <w:szCs w:val="20"/>
        </w:rPr>
      </w:pPr>
    </w:p>
    <w:p w:rsidR="00F11C4F" w:rsidRDefault="00F11C4F" w:rsidP="00F11C4F">
      <w:pPr>
        <w:pStyle w:val="ParagraphStyle"/>
        <w:tabs>
          <w:tab w:val="left" w:pos="6810"/>
        </w:tabs>
        <w:ind w:firstLine="855"/>
        <w:jc w:val="center"/>
        <w:rPr>
          <w:rFonts w:ascii="Bookman Old Style" w:hAnsi="Bookman Old Style" w:cs="Bookman Old Style"/>
          <w:sz w:val="20"/>
          <w:szCs w:val="20"/>
        </w:rPr>
      </w:pPr>
    </w:p>
    <w:p w:rsidR="00F11C4F" w:rsidRDefault="00F11C4F" w:rsidP="00F11C4F">
      <w:pPr>
        <w:pStyle w:val="ParagraphStyle"/>
        <w:tabs>
          <w:tab w:val="left" w:pos="6810"/>
        </w:tabs>
        <w:ind w:firstLine="855"/>
        <w:jc w:val="center"/>
        <w:rPr>
          <w:rFonts w:ascii="Bookman Old Style" w:hAnsi="Bookman Old Style" w:cs="Bookman Old Style"/>
          <w:sz w:val="20"/>
          <w:szCs w:val="20"/>
        </w:rPr>
      </w:pPr>
    </w:p>
    <w:p w:rsidR="00F11C4F" w:rsidRDefault="00F11C4F" w:rsidP="00F11C4F">
      <w:pPr>
        <w:pStyle w:val="ParagraphStyle"/>
        <w:tabs>
          <w:tab w:val="left" w:pos="6810"/>
        </w:tabs>
        <w:jc w:val="center"/>
        <w:rPr>
          <w:rFonts w:ascii="Bookman Old Style" w:hAnsi="Bookman Old Style" w:cs="Bookman Old Style"/>
          <w:sz w:val="20"/>
          <w:szCs w:val="20"/>
        </w:rPr>
      </w:pPr>
      <w:r w:rsidRPr="00F11C4F">
        <w:rPr>
          <w:rFonts w:ascii="Bookman Old Style" w:hAnsi="Bookman Old Style" w:cs="Bookman Old Style"/>
          <w:sz w:val="20"/>
          <w:szCs w:val="20"/>
        </w:rPr>
        <w:t>___________________________________</w:t>
      </w:r>
    </w:p>
    <w:p w:rsidR="00F11C4F" w:rsidRPr="00F11C4F" w:rsidRDefault="00F11C4F" w:rsidP="00F11C4F">
      <w:pPr>
        <w:pStyle w:val="ParagraphStyle"/>
        <w:tabs>
          <w:tab w:val="left" w:pos="6810"/>
        </w:tabs>
        <w:ind w:firstLine="45"/>
        <w:jc w:val="center"/>
        <w:rPr>
          <w:rFonts w:ascii="Bookman Old Style" w:hAnsi="Bookman Old Style" w:cs="Bookman Old Style"/>
          <w:b/>
          <w:sz w:val="20"/>
          <w:szCs w:val="20"/>
        </w:rPr>
      </w:pPr>
      <w:r w:rsidRPr="00F11C4F">
        <w:rPr>
          <w:rFonts w:ascii="Bookman Old Style" w:hAnsi="Bookman Old Style" w:cs="Bookman Old Style"/>
          <w:b/>
          <w:sz w:val="20"/>
          <w:szCs w:val="20"/>
        </w:rPr>
        <w:t>NILTON ANTONIO JOHANN ME</w:t>
      </w:r>
    </w:p>
    <w:p w:rsidR="00F11C4F" w:rsidRDefault="00F11C4F" w:rsidP="00F11C4F">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CNPJ Nº: 04.358.126/0001-93</w:t>
      </w:r>
    </w:p>
    <w:p w:rsidR="00F11C4F" w:rsidRPr="00F11C4F" w:rsidRDefault="00F11C4F" w:rsidP="00F11C4F">
      <w:pPr>
        <w:pStyle w:val="ParagraphStyle"/>
        <w:tabs>
          <w:tab w:val="left" w:pos="6810"/>
        </w:tabs>
        <w:ind w:firstLine="45"/>
        <w:jc w:val="center"/>
        <w:rPr>
          <w:rFonts w:ascii="Bookman Old Style" w:hAnsi="Bookman Old Style" w:cs="Bookman Old Style"/>
          <w:b/>
          <w:sz w:val="20"/>
          <w:szCs w:val="20"/>
        </w:rPr>
      </w:pPr>
      <w:r w:rsidRPr="00F11C4F">
        <w:rPr>
          <w:rFonts w:ascii="Bookman Old Style" w:hAnsi="Bookman Old Style" w:cs="Bookman Old Style"/>
          <w:b/>
          <w:sz w:val="20"/>
          <w:szCs w:val="20"/>
        </w:rPr>
        <w:t>NILTON ANTONIO JOHANN</w:t>
      </w:r>
    </w:p>
    <w:p w:rsidR="00F11C4F" w:rsidRDefault="00F11C4F" w:rsidP="00F11C4F">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CPF Nº: 224.291.319-00</w:t>
      </w:r>
    </w:p>
    <w:p w:rsidR="00F11C4F" w:rsidRDefault="00F11C4F" w:rsidP="00F11C4F">
      <w:pPr>
        <w:pStyle w:val="ParagraphStyle"/>
        <w:rPr>
          <w:rFonts w:ascii="Bookman Old Style" w:hAnsi="Bookman Old Style" w:cs="Bookman Old Style"/>
          <w:sz w:val="20"/>
          <w:szCs w:val="20"/>
        </w:rPr>
      </w:pPr>
    </w:p>
    <w:p w:rsidR="00F11C4F" w:rsidRDefault="00F11C4F" w:rsidP="00F11C4F">
      <w:pPr>
        <w:pStyle w:val="ParagraphStyle"/>
        <w:rPr>
          <w:rFonts w:ascii="Bookman Old Style" w:hAnsi="Bookman Old Style" w:cs="Bookman Old Style"/>
          <w:sz w:val="20"/>
          <w:szCs w:val="20"/>
        </w:rPr>
      </w:pPr>
      <w:r>
        <w:rPr>
          <w:rFonts w:ascii="Bookman Old Style" w:hAnsi="Bookman Old Style" w:cs="Bookman Old Style"/>
          <w:sz w:val="20"/>
          <w:szCs w:val="20"/>
        </w:rPr>
        <w:t>Testemunhas:</w:t>
      </w:r>
    </w:p>
    <w:p w:rsidR="00F11C4F" w:rsidRDefault="00F11C4F" w:rsidP="00F11C4F">
      <w:pPr>
        <w:pStyle w:val="ParagraphStyle"/>
        <w:rPr>
          <w:rFonts w:ascii="Bookman Old Style" w:hAnsi="Bookman Old Style" w:cs="Bookman Old Style"/>
          <w:sz w:val="20"/>
          <w:szCs w:val="20"/>
        </w:rPr>
      </w:pPr>
    </w:p>
    <w:p w:rsidR="00F11C4F" w:rsidRDefault="00F11C4F" w:rsidP="00F11C4F">
      <w:pPr>
        <w:pStyle w:val="Centered"/>
        <w:rPr>
          <w:rFonts w:ascii="Bookman Old Style" w:hAnsi="Bookman Old Style" w:cs="Bookman Old Style"/>
          <w:sz w:val="20"/>
          <w:szCs w:val="20"/>
        </w:rPr>
      </w:pPr>
      <w:r w:rsidRPr="00F11C4F">
        <w:rPr>
          <w:rFonts w:ascii="Bookman Old Style" w:hAnsi="Bookman Old Style" w:cs="Bookman Old Style"/>
          <w:sz w:val="20"/>
          <w:szCs w:val="20"/>
        </w:rPr>
        <w:t>___________________________________</w:t>
      </w:r>
    </w:p>
    <w:p w:rsidR="00F11C4F" w:rsidRDefault="00F11C4F" w:rsidP="00F11C4F">
      <w:pPr>
        <w:pStyle w:val="ParagraphStyle"/>
        <w:jc w:val="center"/>
        <w:rPr>
          <w:rFonts w:ascii="Bookman Old Style" w:hAnsi="Bookman Old Style" w:cs="Bookman Old Style"/>
          <w:b/>
          <w:bCs/>
          <w:sz w:val="20"/>
          <w:szCs w:val="20"/>
        </w:rPr>
      </w:pPr>
      <w:r>
        <w:rPr>
          <w:rFonts w:ascii="Bookman Old Style" w:hAnsi="Bookman Old Style" w:cs="Bookman Old Style"/>
          <w:b/>
          <w:bCs/>
          <w:sz w:val="20"/>
          <w:szCs w:val="20"/>
        </w:rPr>
        <w:t>FLÁVIA REGINA MAI</w:t>
      </w:r>
    </w:p>
    <w:p w:rsidR="00F11C4F" w:rsidRDefault="00F11C4F" w:rsidP="00F11C4F">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CPF Nº: 078.964.499-19</w:t>
      </w:r>
    </w:p>
    <w:p w:rsidR="00F11C4F" w:rsidRDefault="00F11C4F" w:rsidP="00F11C4F">
      <w:pPr>
        <w:pStyle w:val="ParagraphStyle"/>
        <w:jc w:val="center"/>
        <w:rPr>
          <w:rFonts w:ascii="Calibri" w:hAnsi="Calibri" w:cs="Calibri"/>
          <w:sz w:val="20"/>
          <w:szCs w:val="20"/>
        </w:rPr>
      </w:pPr>
    </w:p>
    <w:p w:rsidR="00650F20" w:rsidRDefault="00650F20" w:rsidP="00F11C4F">
      <w:pPr>
        <w:pStyle w:val="ParagraphStyle"/>
        <w:jc w:val="center"/>
        <w:rPr>
          <w:rFonts w:ascii="Calibri" w:hAnsi="Calibri" w:cs="Calibri"/>
          <w:sz w:val="20"/>
          <w:szCs w:val="20"/>
        </w:rPr>
      </w:pPr>
      <w:bookmarkStart w:id="1" w:name="_GoBack"/>
      <w:bookmarkEnd w:id="1"/>
    </w:p>
    <w:p w:rsidR="00F11C4F" w:rsidRDefault="00F11C4F" w:rsidP="00F11C4F">
      <w:pPr>
        <w:pStyle w:val="ParagraphStyle"/>
        <w:jc w:val="center"/>
        <w:rPr>
          <w:rFonts w:ascii="Calibri" w:hAnsi="Calibri" w:cs="Calibri"/>
          <w:sz w:val="20"/>
          <w:szCs w:val="20"/>
        </w:rPr>
      </w:pPr>
    </w:p>
    <w:p w:rsidR="00F11C4F" w:rsidRDefault="00F11C4F" w:rsidP="00F11C4F">
      <w:pPr>
        <w:pStyle w:val="Centered"/>
        <w:rPr>
          <w:rFonts w:ascii="Bookman Old Style" w:hAnsi="Bookman Old Style" w:cs="Bookman Old Style"/>
          <w:sz w:val="20"/>
          <w:szCs w:val="20"/>
        </w:rPr>
      </w:pPr>
      <w:r w:rsidRPr="00F11C4F">
        <w:rPr>
          <w:rFonts w:ascii="Bookman Old Style" w:hAnsi="Bookman Old Style" w:cs="Bookman Old Style"/>
          <w:sz w:val="20"/>
          <w:szCs w:val="20"/>
        </w:rPr>
        <w:t>___________________________________</w:t>
      </w:r>
    </w:p>
    <w:p w:rsidR="00F11C4F" w:rsidRPr="00F11C4F" w:rsidRDefault="00F11C4F" w:rsidP="00F11C4F">
      <w:pPr>
        <w:pStyle w:val="ParagraphStyle"/>
        <w:jc w:val="center"/>
        <w:rPr>
          <w:rFonts w:ascii="Bookman Old Style" w:hAnsi="Bookman Old Style" w:cs="Bookman Old Style"/>
          <w:b/>
          <w:sz w:val="20"/>
          <w:szCs w:val="20"/>
        </w:rPr>
      </w:pPr>
      <w:r w:rsidRPr="00F11C4F">
        <w:rPr>
          <w:rFonts w:ascii="Bookman Old Style" w:hAnsi="Bookman Old Style" w:cs="Bookman Old Style"/>
          <w:b/>
          <w:sz w:val="20"/>
          <w:szCs w:val="20"/>
        </w:rPr>
        <w:t>CESAR AUGUSTO ORTEGA</w:t>
      </w:r>
    </w:p>
    <w:p w:rsidR="00BB5A33" w:rsidRPr="00F11C4F" w:rsidRDefault="00F11C4F" w:rsidP="00F11C4F">
      <w:pPr>
        <w:autoSpaceDE w:val="0"/>
        <w:autoSpaceDN w:val="0"/>
        <w:adjustRightInd w:val="0"/>
        <w:jc w:val="center"/>
        <w:rPr>
          <w:rFonts w:ascii="Bookman Old Style" w:eastAsiaTheme="minorHAnsi" w:hAnsi="Bookman Old Style" w:cs="Times New Roman"/>
          <w:bCs/>
          <w:color w:val="000000"/>
          <w:szCs w:val="20"/>
          <w:lang w:val="x-none" w:eastAsia="en-US"/>
        </w:rPr>
      </w:pPr>
      <w:r>
        <w:rPr>
          <w:rFonts w:ascii="Bookman Old Style" w:hAnsi="Bookman Old Style" w:cs="Bookman Old Style"/>
          <w:szCs w:val="20"/>
        </w:rPr>
        <w:t>CPF Nº 661.608.719-00</w:t>
      </w:r>
    </w:p>
    <w:p w:rsidR="006B0418" w:rsidRPr="00BB5A33" w:rsidRDefault="006B0418">
      <w:pPr>
        <w:rPr>
          <w:rFonts w:ascii="Bookman Old Style" w:hAnsi="Bookman Old Style"/>
          <w:szCs w:val="20"/>
        </w:rPr>
      </w:pPr>
    </w:p>
    <w:sectPr w:rsidR="006B0418" w:rsidRPr="00BB5A33" w:rsidSect="00F11C4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650F20"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71F1A99" wp14:editId="3F4C3C92">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650F20"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650F20"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650F20"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650F20"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650F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33"/>
    <w:rsid w:val="004866DA"/>
    <w:rsid w:val="00650F20"/>
    <w:rsid w:val="006B0418"/>
    <w:rsid w:val="00BB5A33"/>
    <w:rsid w:val="00D82845"/>
    <w:rsid w:val="00F11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AFA9C-8AE2-49F8-A023-52CECF9A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33"/>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BB5A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BB5A33"/>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BB5A33"/>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BB5A33"/>
    <w:pPr>
      <w:tabs>
        <w:tab w:val="center" w:pos="4252"/>
        <w:tab w:val="right" w:pos="8504"/>
      </w:tabs>
    </w:pPr>
  </w:style>
  <w:style w:type="character" w:customStyle="1" w:styleId="CabealhoChar">
    <w:name w:val="Cabeçalho Char"/>
    <w:basedOn w:val="Fontepargpadro"/>
    <w:link w:val="Cabealho"/>
    <w:uiPriority w:val="99"/>
    <w:rsid w:val="00BB5A33"/>
    <w:rPr>
      <w:rFonts w:ascii="Arial" w:eastAsia="Times New Roman" w:hAnsi="Arial" w:cs="Tahoma"/>
      <w:sz w:val="20"/>
      <w:szCs w:val="24"/>
      <w:lang w:eastAsia="pt-BR"/>
    </w:rPr>
  </w:style>
  <w:style w:type="character" w:styleId="Hyperlink">
    <w:name w:val="Hyperlink"/>
    <w:basedOn w:val="Fontepargpadro"/>
    <w:uiPriority w:val="99"/>
    <w:unhideWhenUsed/>
    <w:rsid w:val="00BB5A33"/>
    <w:rPr>
      <w:color w:val="0563C1"/>
      <w:u w:val="single"/>
    </w:rPr>
  </w:style>
  <w:style w:type="paragraph" w:styleId="PargrafodaLista">
    <w:name w:val="List Paragraph"/>
    <w:basedOn w:val="Normal"/>
    <w:uiPriority w:val="34"/>
    <w:qFormat/>
    <w:rsid w:val="00BB5A33"/>
    <w:pPr>
      <w:ind w:left="720"/>
      <w:contextualSpacing/>
    </w:pPr>
  </w:style>
  <w:style w:type="character" w:customStyle="1" w:styleId="Ttulo1Char">
    <w:name w:val="Título 1 Char"/>
    <w:basedOn w:val="Fontepargpadro"/>
    <w:link w:val="Ttulo1"/>
    <w:uiPriority w:val="9"/>
    <w:rsid w:val="00BB5A33"/>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F11C4F"/>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F11C4F"/>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3533</Words>
  <Characters>19081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3</cp:revision>
  <dcterms:created xsi:type="dcterms:W3CDTF">2024-03-05T19:10:00Z</dcterms:created>
  <dcterms:modified xsi:type="dcterms:W3CDTF">2024-03-05T19:36:00Z</dcterms:modified>
</cp:coreProperties>
</file>