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6D" w:rsidRPr="00672739" w:rsidRDefault="00672739" w:rsidP="00672739">
      <w:pPr>
        <w:jc w:val="center"/>
        <w:rPr>
          <w:rFonts w:ascii="Bookman Old Style" w:hAnsi="Bookman Old Style"/>
          <w:b/>
        </w:rPr>
      </w:pPr>
      <w:r w:rsidRPr="00672739">
        <w:rPr>
          <w:rFonts w:ascii="Bookman Old Style" w:eastAsia="Bookman Old Style" w:hAnsi="Bookman Old Style" w:cs="Bookman Old Style"/>
          <w:b/>
        </w:rPr>
        <w:t>PARECER JURÍDICO</w:t>
      </w:r>
    </w:p>
    <w:p w:rsidR="009A4B6D" w:rsidRPr="00672739" w:rsidRDefault="009A4B6D" w:rsidP="00672739">
      <w:pPr>
        <w:jc w:val="both"/>
        <w:rPr>
          <w:rFonts w:ascii="Bookman Old Style" w:hAnsi="Bookman Old Style"/>
          <w:b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  <w:b/>
        </w:rPr>
        <w:t>ASSUNTO:</w:t>
      </w:r>
      <w:r w:rsidRPr="00672739">
        <w:rPr>
          <w:rFonts w:ascii="Bookman Old Style" w:eastAsia="Bookman Old Style" w:hAnsi="Bookman Old Style" w:cs="Bookman Old Style"/>
        </w:rPr>
        <w:t xml:space="preserve"> Aquisição de peças para recuperar a bomba de vibração do cilindro do ROLO POMPACTADOR XCMG. 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  <w:b/>
        </w:rPr>
      </w:pPr>
      <w:r w:rsidRPr="00672739">
        <w:rPr>
          <w:rFonts w:ascii="Bookman Old Style" w:eastAsia="Bookman Old Style" w:hAnsi="Bookman Old Style" w:cs="Bookman Old Style"/>
          <w:b/>
        </w:rPr>
        <w:t>1 RETROSPECTO</w:t>
      </w: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</w: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 xml:space="preserve">Trata-se de solicitação do DEPARTAMENTO DE OBRAS E SERVIÇOS RODOVIÁRIOS, em que pretende a contratação direta, via </w:t>
      </w:r>
      <w:r w:rsidRPr="00672739">
        <w:rPr>
          <w:rFonts w:ascii="Bookman Old Style" w:eastAsia="Bookman Old Style" w:hAnsi="Bookman Old Style" w:cs="Bookman Old Style"/>
        </w:rPr>
        <w:t xml:space="preserve">dispensa, da empresa, </w:t>
      </w:r>
      <w:r w:rsidRPr="00672739">
        <w:rPr>
          <w:rFonts w:ascii="Bookman Old Style" w:eastAsia="Bookman Old Style" w:hAnsi="Bookman Old Style" w:cs="Bookman Old Style"/>
          <w:b/>
        </w:rPr>
        <w:t xml:space="preserve">YAMADIESEL COMERCIO DE MÁQUINAS - EIRELI, inscrita sob CNPJ 22.087.311/0001-72 para Aquisição de peças para recuperar a bomba de vibração do cilindro do ROLO POMPACTADOR XCMG., </w:t>
      </w:r>
      <w:r w:rsidRPr="00672739">
        <w:rPr>
          <w:rFonts w:ascii="Bookman Old Style" w:eastAsia="Bookman Old Style" w:hAnsi="Bookman Old Style" w:cs="Bookman Old Style"/>
        </w:rPr>
        <w:t>ao custo máximo</w:t>
      </w:r>
      <w:r w:rsidRPr="00672739">
        <w:rPr>
          <w:rFonts w:ascii="Bookman Old Style" w:eastAsia="Bookman Old Style" w:hAnsi="Bookman Old Style" w:cs="Bookman Old Style"/>
          <w:b/>
        </w:rPr>
        <w:t xml:space="preserve"> de R$ 25.525,00 (Vinte e Cinco Mil, Quinh</w:t>
      </w:r>
      <w:r w:rsidRPr="00672739">
        <w:rPr>
          <w:rFonts w:ascii="Bookman Old Style" w:eastAsia="Bookman Old Style" w:hAnsi="Bookman Old Style" w:cs="Bookman Old Style"/>
          <w:b/>
        </w:rPr>
        <w:t>entos e Vinte e Cinco Reais).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>O procedimento veio acompanhado da Solicitação com Estimativa de Quantidade e Preços, Termo de Referência, Orçamentos Contrato Social e Documentações Fiscais, Trabalhistas e Contábeis da empresa a ser contratada e parecer co</w:t>
      </w:r>
      <w:r w:rsidRPr="00672739">
        <w:rPr>
          <w:rFonts w:ascii="Bookman Old Style" w:eastAsia="Bookman Old Style" w:hAnsi="Bookman Old Style" w:cs="Bookman Old Style"/>
        </w:rPr>
        <w:t>ntábil.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>O Departamento de Licitações encaminhou os autos para avaliação jurídica por parte desta Procuradoria Jurídica, levando-se em consideração o disposto no artigo 53, inciso I e II e parágrafo §1º, da Lei nº 14.133/2021.</w:t>
      </w:r>
    </w:p>
    <w:p w:rsidR="009A4B6D" w:rsidRPr="00672739" w:rsidRDefault="009A4B6D" w:rsidP="00672739">
      <w:pPr>
        <w:spacing w:line="276" w:lineRule="auto"/>
        <w:jc w:val="both"/>
        <w:rPr>
          <w:rFonts w:ascii="Bookman Old Style" w:hAnsi="Bookman Old Style"/>
        </w:rPr>
      </w:pP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 xml:space="preserve">É o relatório. 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  <w:b/>
        </w:rPr>
      </w:pPr>
      <w:r w:rsidRPr="00672739">
        <w:rPr>
          <w:rFonts w:ascii="Bookman Old Style" w:eastAsia="Bookman Old Style" w:hAnsi="Bookman Old Style" w:cs="Bookman Old Style"/>
          <w:b/>
        </w:rPr>
        <w:t>2 FUNDAM</w:t>
      </w:r>
      <w:r w:rsidRPr="00672739">
        <w:rPr>
          <w:rFonts w:ascii="Bookman Old Style" w:eastAsia="Bookman Old Style" w:hAnsi="Bookman Old Style" w:cs="Bookman Old Style"/>
          <w:b/>
        </w:rPr>
        <w:t>ENTAÇÃO</w:t>
      </w:r>
    </w:p>
    <w:p w:rsidR="009A4B6D" w:rsidRPr="00672739" w:rsidRDefault="009A4B6D" w:rsidP="00672739">
      <w:pPr>
        <w:jc w:val="both"/>
        <w:rPr>
          <w:rFonts w:ascii="Bookman Old Style" w:hAnsi="Bookman Old Style"/>
          <w:b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  <w:b/>
        </w:rPr>
      </w:pPr>
      <w:r w:rsidRPr="00672739">
        <w:rPr>
          <w:rFonts w:ascii="Bookman Old Style" w:eastAsia="Bookman Old Style" w:hAnsi="Bookman Old Style" w:cs="Bookman Old Style"/>
          <w:b/>
        </w:rPr>
        <w:t>2.1 CONSIDERAÇÕES GERAIS SOBRE O PROCEDIMENTO LICITARÓRIO</w:t>
      </w:r>
    </w:p>
    <w:p w:rsidR="009A4B6D" w:rsidRPr="00672739" w:rsidRDefault="00672739" w:rsidP="00672739">
      <w:pPr>
        <w:jc w:val="both"/>
        <w:rPr>
          <w:rFonts w:ascii="Bookman Old Style" w:hAnsi="Bookman Old Style"/>
          <w:b/>
        </w:rPr>
      </w:pPr>
      <w:r w:rsidRPr="00672739">
        <w:rPr>
          <w:rFonts w:ascii="Bookman Old Style" w:eastAsia="Bookman Old Style" w:hAnsi="Bookman Old Style" w:cs="Bookman Old Style"/>
          <w:b/>
        </w:rPr>
        <w:tab/>
      </w: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>A obrigatoriedade de licitar consta na Constituição Federal de 1988, em seu artigo 37, inciso XXI.</w:t>
      </w: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</w: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>O procedimento licitatório visa garantir não apenas a seleção da proposta mais vanta</w:t>
      </w:r>
      <w:r w:rsidRPr="00672739">
        <w:rPr>
          <w:rFonts w:ascii="Bookman Old Style" w:eastAsia="Bookman Old Style" w:hAnsi="Bookman Old Style" w:cs="Bookman Old Style"/>
        </w:rPr>
        <w:t>josa para a Administração, mas sim, visa assegurar o princípio constitucional da isonomia entre os potenciais prestadores do serviço ou fornecedores do objeto pretendido pelo Poder Público.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>Entretanto, como destacado acima, a própria Constituição Federal</w:t>
      </w:r>
      <w:r w:rsidRPr="00672739">
        <w:rPr>
          <w:rFonts w:ascii="Bookman Old Style" w:eastAsia="Bookman Old Style" w:hAnsi="Bookman Old Style" w:cs="Bookman Old Style"/>
        </w:rPr>
        <w:t>, em seu artigo 37, inciso XXI, ao fazer exigência da licitação, ressalva “</w:t>
      </w:r>
      <w:r w:rsidRPr="00672739">
        <w:rPr>
          <w:rFonts w:ascii="Bookman Old Style" w:eastAsia="Bookman Old Style" w:hAnsi="Bookman Old Style" w:cs="Bookman Old Style"/>
          <w:b/>
        </w:rPr>
        <w:t>aos casos especificados na legislação</w:t>
      </w:r>
      <w:r w:rsidRPr="00672739">
        <w:rPr>
          <w:rFonts w:ascii="Bookman Old Style" w:eastAsia="Bookman Old Style" w:hAnsi="Bookman Old Style" w:cs="Bookman Old Style"/>
        </w:rPr>
        <w:t>”, abre a possibilidade da lei ordinária fixar hipóteses para estabelecer exceções à regra de licitar, que é exatamente o que se observa pela di</w:t>
      </w:r>
      <w:r w:rsidRPr="00672739">
        <w:rPr>
          <w:rFonts w:ascii="Bookman Old Style" w:eastAsia="Bookman Old Style" w:hAnsi="Bookman Old Style" w:cs="Bookman Old Style"/>
        </w:rPr>
        <w:t>sposição dos artigos 74 e 75 da Lei nº 14.133/2021, que tratam, respectivamente, sobre os casos de dispensa e inexigibilidade de licitação.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>Partindo-se, portanto da premissa que a regra é a licitação e a exceção a contratação direta, é necessário explica</w:t>
      </w:r>
      <w:r w:rsidRPr="00672739">
        <w:rPr>
          <w:rFonts w:ascii="Bookman Old Style" w:eastAsia="Bookman Old Style" w:hAnsi="Bookman Old Style" w:cs="Bookman Old Style"/>
        </w:rPr>
        <w:t xml:space="preserve">r a forma de contratação direta, a qual foi resumida pela Lei nº 14.133 de 01 de abril de 2021 como </w:t>
      </w:r>
      <w:r w:rsidRPr="00672739">
        <w:rPr>
          <w:rFonts w:ascii="Bookman Old Style" w:eastAsia="Bookman Old Style" w:hAnsi="Bookman Old Style" w:cs="Bookman Old Style"/>
          <w:b/>
        </w:rPr>
        <w:t>dispensa.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 xml:space="preserve">Na dispensa, artigo 75, a licitação seria em tese possível, em face de uma necessidade pública específica e a existência de bens ou serviços </w:t>
      </w:r>
      <w:r w:rsidRPr="00672739">
        <w:rPr>
          <w:rFonts w:ascii="Bookman Old Style" w:eastAsia="Bookman Old Style" w:hAnsi="Bookman Old Style" w:cs="Bookman Old Style"/>
        </w:rPr>
        <w:t>disponíveis, em quantidades tais a justificarem uma licitação. Contudo, razões de ordem superior, relacionadas à satisfação de interesse público, também merecedor de imediata acolhida, justificam uma contratação direta, sem recurso a licitação.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 xml:space="preserve">Todavia, </w:t>
      </w:r>
      <w:r w:rsidRPr="00672739">
        <w:rPr>
          <w:rFonts w:ascii="Bookman Old Style" w:eastAsia="Bookman Old Style" w:hAnsi="Bookman Old Style" w:cs="Bookman Old Style"/>
        </w:rPr>
        <w:t>mesmo na hipótese de dispensa, o administrador público não está inteiramente livre para contratar. É preciso a observância de determinados requisitos legais e constitucionais, os quais devem estar devidamente demonstrados nos autos do procedimento de dispe</w:t>
      </w:r>
      <w:r w:rsidRPr="00672739">
        <w:rPr>
          <w:rFonts w:ascii="Bookman Old Style" w:eastAsia="Bookman Old Style" w:hAnsi="Bookman Old Style" w:cs="Bookman Old Style"/>
        </w:rPr>
        <w:t>nsa.</w:t>
      </w:r>
      <w:r>
        <w:rPr>
          <w:rFonts w:ascii="Bookman Old Style" w:eastAsia="Bookman Old Style" w:hAnsi="Bookman Old Style" w:cs="Bookman Old Style"/>
        </w:rPr>
        <w:br/>
      </w:r>
      <w:r>
        <w:rPr>
          <w:rFonts w:ascii="Bookman Old Style" w:eastAsia="Bookman Old Style" w:hAnsi="Bookman Old Style" w:cs="Bookman Old Style"/>
        </w:rPr>
        <w:br/>
      </w:r>
      <w:r>
        <w:rPr>
          <w:rFonts w:ascii="Bookman Old Style" w:eastAsia="Bookman Old Style" w:hAnsi="Bookman Old Style" w:cs="Bookman Old Style"/>
        </w:rPr>
        <w:br/>
      </w:r>
      <w:r>
        <w:rPr>
          <w:rFonts w:ascii="Bookman Old Style" w:eastAsia="Bookman Old Style" w:hAnsi="Bookman Old Style" w:cs="Bookman Old Style"/>
        </w:rPr>
        <w:br/>
      </w:r>
      <w:r w:rsidRPr="00672739">
        <w:rPr>
          <w:rFonts w:ascii="Bookman Old Style" w:eastAsia="Bookman Old Style" w:hAnsi="Bookman Old Style" w:cs="Bookman Old Style"/>
        </w:rPr>
        <w:lastRenderedPageBreak/>
        <w:t xml:space="preserve"> </w:t>
      </w:r>
    </w:p>
    <w:p w:rsidR="009A4B6D" w:rsidRPr="00672739" w:rsidRDefault="00672739" w:rsidP="00672739">
      <w:pPr>
        <w:jc w:val="both"/>
        <w:rPr>
          <w:rFonts w:ascii="Bookman Old Style" w:hAnsi="Bookman Old Style"/>
          <w:b/>
        </w:rPr>
      </w:pPr>
      <w:r w:rsidRPr="00672739">
        <w:rPr>
          <w:rFonts w:ascii="Bookman Old Style" w:eastAsia="Bookman Old Style" w:hAnsi="Bookman Old Style" w:cs="Bookman Old Style"/>
          <w:b/>
        </w:rPr>
        <w:t>2.2 O CASO CONCRETO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>Levando-se em consideração os documentos que instruem o presente procedimento, e aqueles que são necessários em todos e quaisquer procedimentos licitatórios, passa a analisá-los, objetivamente: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672739">
        <w:rPr>
          <w:rFonts w:ascii="Bookman Old Style" w:eastAsia="Bookman Old Style" w:hAnsi="Bookman Old Style" w:cs="Bookman Old Style"/>
          <w:i/>
        </w:rPr>
        <w:t>Modalidade: o caso concreto enq</w:t>
      </w:r>
      <w:r w:rsidRPr="00672739">
        <w:rPr>
          <w:rFonts w:ascii="Bookman Old Style" w:eastAsia="Bookman Old Style" w:hAnsi="Bookman Old Style" w:cs="Bookman Old Style"/>
          <w:i/>
        </w:rPr>
        <w:t>uadra-se na hipótese prevista no artigo 75</w:t>
      </w:r>
      <w:r w:rsidRPr="00672739">
        <w:rPr>
          <w:rFonts w:ascii="Bookman Old Style" w:eastAsia="Bookman Old Style" w:hAnsi="Bookman Old Style" w:cs="Bookman Old Style"/>
          <w:i/>
        </w:rPr>
        <w:t>, da Lei nº 14.133/21. Os custos da Administração com o procedimento licitatório não compensam o gasto com a contratação;</w:t>
      </w:r>
    </w:p>
    <w:p w:rsidR="009A4B6D" w:rsidRPr="00672739" w:rsidRDefault="009A4B6D" w:rsidP="00672739">
      <w:pPr>
        <w:jc w:val="both"/>
        <w:rPr>
          <w:rFonts w:ascii="Bookman Old Style" w:hAnsi="Bookman Old Style"/>
          <w:i/>
        </w:rPr>
      </w:pPr>
    </w:p>
    <w:p w:rsidR="009A4B6D" w:rsidRPr="00672739" w:rsidRDefault="00672739" w:rsidP="00672739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672739">
        <w:rPr>
          <w:rFonts w:ascii="Bookman Old Style" w:eastAsia="Bookman Old Style" w:hAnsi="Bookman Old Style" w:cs="Bookman Old Style"/>
          <w:i/>
        </w:rPr>
        <w:t>Justificativa de preço: ao Termo de Referência foram anexados orçamentos</w:t>
      </w:r>
      <w:r w:rsidRPr="00672739">
        <w:rPr>
          <w:rFonts w:ascii="Bookman Old Style" w:eastAsia="Bookman Old Style" w:hAnsi="Bookman Old Style" w:cs="Bookman Old Style"/>
          <w:i/>
        </w:rPr>
        <w:t>, sendo que o pr</w:t>
      </w:r>
      <w:r w:rsidRPr="00672739">
        <w:rPr>
          <w:rFonts w:ascii="Bookman Old Style" w:eastAsia="Bookman Old Style" w:hAnsi="Bookman Old Style" w:cs="Bookman Old Style"/>
          <w:i/>
        </w:rPr>
        <w:t>eço que a Administração está disposta a pagar corresponde ao menor dos preços pesquisados. Salienta-se que fica excluída da análise deste parecer a verificação da compatibilidade dos preços fixados no Termo de Referência com os de mercado, já que estes são</w:t>
      </w:r>
      <w:r w:rsidRPr="00672739">
        <w:rPr>
          <w:rFonts w:ascii="Bookman Old Style" w:eastAsia="Bookman Old Style" w:hAnsi="Bookman Old Style" w:cs="Bookman Old Style"/>
          <w:i/>
        </w:rPr>
        <w:t xml:space="preserve"> objeto de pesquisa e valorização exclusiva do servidor solicitante da contratação.</w:t>
      </w:r>
    </w:p>
    <w:p w:rsidR="009A4B6D" w:rsidRPr="00672739" w:rsidRDefault="009A4B6D" w:rsidP="00672739">
      <w:pPr>
        <w:jc w:val="both"/>
        <w:rPr>
          <w:rFonts w:ascii="Bookman Old Style" w:hAnsi="Bookman Old Style"/>
          <w:i/>
        </w:rPr>
      </w:pPr>
    </w:p>
    <w:p w:rsidR="009A4B6D" w:rsidRPr="00672739" w:rsidRDefault="00672739" w:rsidP="00672739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672739">
        <w:rPr>
          <w:rFonts w:ascii="Bookman Old Style" w:eastAsia="Bookman Old Style" w:hAnsi="Bookman Old Style" w:cs="Bookman Old Style"/>
          <w:i/>
        </w:rPr>
        <w:t xml:space="preserve">Parecer contábil: a Secretaria de Contabilidade e Finanças exarou parecer no qual atesta que os gastos com esta licitação não comprometem os recursos mínimos destinados à </w:t>
      </w:r>
      <w:r w:rsidRPr="00672739">
        <w:rPr>
          <w:rFonts w:ascii="Bookman Old Style" w:eastAsia="Bookman Old Style" w:hAnsi="Bookman Old Style" w:cs="Bookman Old Style"/>
          <w:i/>
        </w:rPr>
        <w:t>saúde e à educação. O parecer contábil constitui exigência prescrita nos artigos 212 e 216, parágrafo 6º, ambos da Constituição Federal de 1988. O artigo 212 impõe aos entes federados a vinculação de parcela da arrecadação tributária, enquanto que o artigo</w:t>
      </w:r>
      <w:r w:rsidRPr="00672739">
        <w:rPr>
          <w:rFonts w:ascii="Bookman Old Style" w:eastAsia="Bookman Old Style" w:hAnsi="Bookman Old Style" w:cs="Bookman Old Style"/>
          <w:i/>
        </w:rPr>
        <w:t xml:space="preserve"> 216, parágrafo 6º apenas faculta a vinculação de tais receitas. Além disso, o artigo 167 da Carta Política abre uma exceção à regra da impossibilidade de vinculação da receita proveniente de impostos, autorizando, contudo, quando se tratar de repasses des</w:t>
      </w:r>
      <w:r w:rsidRPr="00672739">
        <w:rPr>
          <w:rFonts w:ascii="Bookman Old Style" w:eastAsia="Bookman Old Style" w:hAnsi="Bookman Old Style" w:cs="Bookman Old Style"/>
          <w:i/>
        </w:rPr>
        <w:t>tinados à saúde e à educação.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</w:r>
    </w:p>
    <w:p w:rsidR="009A4B6D" w:rsidRPr="00672739" w:rsidRDefault="00672739" w:rsidP="00672739">
      <w:pPr>
        <w:jc w:val="both"/>
        <w:rPr>
          <w:rFonts w:ascii="Bookman Old Style" w:hAnsi="Bookman Old Style"/>
          <w:b/>
        </w:rPr>
      </w:pPr>
      <w:r w:rsidRPr="00672739">
        <w:rPr>
          <w:rFonts w:ascii="Bookman Old Style" w:eastAsia="Bookman Old Style" w:hAnsi="Bookman Old Style" w:cs="Bookman Old Style"/>
          <w:b/>
        </w:rPr>
        <w:t>3 CONCLUSÃO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  <w:b/>
        </w:rPr>
      </w:pPr>
      <w:r w:rsidRPr="00672739">
        <w:rPr>
          <w:rFonts w:ascii="Bookman Old Style" w:eastAsia="Bookman Old Style" w:hAnsi="Bookman Old Style" w:cs="Bookman Old Style"/>
        </w:rPr>
        <w:tab/>
        <w:t xml:space="preserve">ANTE O EXPOSTO, esta Procuradoria Jurídica </w:t>
      </w:r>
      <w:r w:rsidRPr="00672739">
        <w:rPr>
          <w:rFonts w:ascii="Bookman Old Style" w:eastAsia="Bookman Old Style" w:hAnsi="Bookman Old Style" w:cs="Bookman Old Style"/>
          <w:b/>
        </w:rPr>
        <w:t>OPINA</w:t>
      </w:r>
      <w:r w:rsidRPr="00672739">
        <w:rPr>
          <w:rFonts w:ascii="Bookman Old Style" w:eastAsia="Bookman Old Style" w:hAnsi="Bookman Old Style" w:cs="Bookman Old Style"/>
        </w:rPr>
        <w:t xml:space="preserve"> pela viabilidade da contratação direta, via dispensa, da empresa, </w:t>
      </w:r>
      <w:r w:rsidRPr="00672739">
        <w:rPr>
          <w:rFonts w:ascii="Bookman Old Style" w:eastAsia="Bookman Old Style" w:hAnsi="Bookman Old Style" w:cs="Bookman Old Style"/>
          <w:b/>
        </w:rPr>
        <w:t>YAMADIESEL COMERCIO DE MÁQUINAS - EIRELI para Aquisição de peças para recuperar a bomba de vib</w:t>
      </w:r>
      <w:r w:rsidRPr="00672739">
        <w:rPr>
          <w:rFonts w:ascii="Bookman Old Style" w:eastAsia="Bookman Old Style" w:hAnsi="Bookman Old Style" w:cs="Bookman Old Style"/>
          <w:b/>
        </w:rPr>
        <w:t>ração do cilindro do ROLO POMPACTADOR XCMG., ao custo máximo de R$ 25.525,00 (Vinte e Cinco Mil, Quinhentos e Vinte e Cinco Reais).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ab/>
        <w:t>Ainda, como condição de validade dos atos, o Departamento de Licitações ainda deverá, nessa ordem: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>No prazo de 3 (três) d</w:t>
      </w:r>
      <w:r w:rsidRPr="00672739">
        <w:rPr>
          <w:rFonts w:ascii="Bookman Old Style" w:eastAsia="Bookman Old Style" w:hAnsi="Bookman Old Style" w:cs="Bookman Old Style"/>
        </w:rPr>
        <w:t>ias, comunicar a autoridade superior (Prefeito Municipal), para ratificação;</w:t>
      </w:r>
    </w:p>
    <w:p w:rsidR="009A4B6D" w:rsidRPr="00672739" w:rsidRDefault="00672739" w:rsidP="00672739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>Publicar a dispensa nos veículos de publicação oficiais e no PNCP, no prazo mínimo de 5 (cinco) dias úteis exigidos na Lei 14.133/21; e,</w:t>
      </w:r>
    </w:p>
    <w:p w:rsidR="009A4B6D" w:rsidRPr="00672739" w:rsidRDefault="00672739" w:rsidP="00672739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>Firmar contrato ou documento equivalente c</w:t>
      </w:r>
      <w:r w:rsidRPr="00672739">
        <w:rPr>
          <w:rFonts w:ascii="Bookman Old Style" w:eastAsia="Bookman Old Style" w:hAnsi="Bookman Old Style" w:cs="Bookman Old Style"/>
        </w:rPr>
        <w:t>om pessoa jurídica.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>É o parecer, submetido a honrosa apreciação de Vossa Senhoria.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both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>Santo Antonio do Sudoeste – Paraná, 31/01/2024.</w:t>
      </w: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672739" w:rsidRDefault="00672739" w:rsidP="00672739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1381125" cy="658495"/>
            <wp:effectExtent l="0" t="0" r="9525" b="8255"/>
            <wp:wrapNone/>
            <wp:docPr id="2" name="Imagem 2" descr="C:\Users\LICITACA-04\AppData\Local\Packages\Microsoft.Windows.Photos_8wekyb3d8bbwe\TempState\ShareServiceTempFolder\Cínti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-04\AppData\Local\Packages\Microsoft.Windows.Photos_8wekyb3d8bbwe\TempState\ShareServiceTempFolder\Cíntia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739" w:rsidRPr="00672739" w:rsidRDefault="00672739" w:rsidP="00672739">
      <w:pPr>
        <w:jc w:val="both"/>
        <w:rPr>
          <w:rFonts w:ascii="Bookman Old Style" w:hAnsi="Bookman Old Style"/>
        </w:rPr>
      </w:pPr>
    </w:p>
    <w:p w:rsidR="009A4B6D" w:rsidRPr="00672739" w:rsidRDefault="009A4B6D" w:rsidP="00672739">
      <w:pPr>
        <w:jc w:val="both"/>
        <w:rPr>
          <w:rFonts w:ascii="Bookman Old Style" w:hAnsi="Bookman Old Style"/>
        </w:rPr>
      </w:pPr>
    </w:p>
    <w:p w:rsidR="009A4B6D" w:rsidRPr="00672739" w:rsidRDefault="00672739" w:rsidP="00672739">
      <w:pPr>
        <w:jc w:val="center"/>
        <w:rPr>
          <w:rFonts w:ascii="Bookman Old Style" w:hAnsi="Bookman Old Style"/>
          <w:b/>
        </w:rPr>
      </w:pPr>
      <w:r w:rsidRPr="00672739">
        <w:rPr>
          <w:rFonts w:ascii="Bookman Old Style" w:eastAsia="Bookman Old Style" w:hAnsi="Bookman Old Style" w:cs="Bookman Old Style"/>
          <w:b/>
        </w:rPr>
        <w:t>CINTIA FERNANDA LANZARIN</w:t>
      </w:r>
      <w:bookmarkStart w:id="0" w:name="_GoBack"/>
      <w:bookmarkEnd w:id="0"/>
    </w:p>
    <w:p w:rsidR="009A4B6D" w:rsidRPr="00672739" w:rsidRDefault="00672739" w:rsidP="00672739">
      <w:pPr>
        <w:jc w:val="center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>Procuradora Geral</w:t>
      </w:r>
    </w:p>
    <w:p w:rsidR="009A4B6D" w:rsidRPr="00672739" w:rsidRDefault="00672739" w:rsidP="00672739">
      <w:pPr>
        <w:jc w:val="center"/>
        <w:rPr>
          <w:rFonts w:ascii="Bookman Old Style" w:hAnsi="Bookman Old Style"/>
        </w:rPr>
      </w:pPr>
      <w:r w:rsidRPr="00672739">
        <w:rPr>
          <w:rFonts w:ascii="Bookman Old Style" w:eastAsia="Bookman Old Style" w:hAnsi="Bookman Old Style" w:cs="Bookman Old Style"/>
        </w:rPr>
        <w:t>Advogada - OAB 32.208-PR</w:t>
      </w:r>
    </w:p>
    <w:sectPr w:rsidR="009A4B6D" w:rsidRPr="00672739" w:rsidSect="00672739">
      <w:headerReference w:type="default" r:id="rId8"/>
      <w:pgSz w:w="11906" w:h="16838"/>
      <w:pgMar w:top="1440" w:right="1080" w:bottom="1440" w:left="108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2739">
      <w:r>
        <w:separator/>
      </w:r>
    </w:p>
  </w:endnote>
  <w:endnote w:type="continuationSeparator" w:id="0">
    <w:p w:rsidR="00000000" w:rsidRDefault="0067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2739">
      <w:r>
        <w:separator/>
      </w:r>
    </w:p>
  </w:footnote>
  <w:footnote w:type="continuationSeparator" w:id="0">
    <w:p w:rsidR="00000000" w:rsidRDefault="0067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39" w:rsidRDefault="00672739" w:rsidP="003B23B7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672739" w:rsidRDefault="00672739" w:rsidP="003B23B7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672739" w:rsidRDefault="00672739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672739" w:rsidRDefault="00672739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672739" w:rsidRDefault="00672739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A4B6D" w:rsidRDefault="009A4B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C97"/>
    <w:multiLevelType w:val="hybridMultilevel"/>
    <w:tmpl w:val="D22A45DA"/>
    <w:lvl w:ilvl="0" w:tplc="828A52AA">
      <w:start w:val="1"/>
      <w:numFmt w:val="upperRoman"/>
      <w:lvlText w:val="%1."/>
      <w:lvlJc w:val="left"/>
      <w:pPr>
        <w:ind w:left="1080" w:hanging="720"/>
      </w:pPr>
      <w:rPr>
        <w:rFonts w:eastAsia="Bookman Old Style" w:cs="Bookman Old Style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023D"/>
    <w:multiLevelType w:val="hybridMultilevel"/>
    <w:tmpl w:val="9A706052"/>
    <w:lvl w:ilvl="0" w:tplc="581ECA9E">
      <w:start w:val="1"/>
      <w:numFmt w:val="upperRoman"/>
      <w:lvlText w:val="%1."/>
      <w:lvlJc w:val="left"/>
      <w:pPr>
        <w:ind w:left="1080" w:hanging="720"/>
      </w:pPr>
      <w:rPr>
        <w:rFonts w:eastAsia="Bookman Old Style" w:cs="Bookman Old Style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7B04"/>
    <w:multiLevelType w:val="hybridMultilevel"/>
    <w:tmpl w:val="1D885A2A"/>
    <w:lvl w:ilvl="0" w:tplc="8564C626">
      <w:start w:val="1"/>
      <w:numFmt w:val="lowerRoman"/>
      <w:lvlText w:val="%1."/>
      <w:lvlJc w:val="left"/>
      <w:pPr>
        <w:ind w:left="1080" w:hanging="720"/>
      </w:pPr>
      <w:rPr>
        <w:rFonts w:eastAsia="Bookman Old Style" w:cs="Bookman Old Style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6D"/>
    <w:rsid w:val="00672739"/>
    <w:rsid w:val="009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B39CA"/>
  <w15:docId w15:val="{2C12DDEA-4818-4C2D-B737-BE79C1F1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7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739"/>
  </w:style>
  <w:style w:type="paragraph" w:styleId="Rodap">
    <w:name w:val="footer"/>
    <w:basedOn w:val="Normal"/>
    <w:link w:val="RodapChar"/>
    <w:uiPriority w:val="99"/>
    <w:unhideWhenUsed/>
    <w:rsid w:val="006727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739"/>
  </w:style>
  <w:style w:type="character" w:styleId="Hyperlink">
    <w:name w:val="Hyperlink"/>
    <w:basedOn w:val="Fontepargpadro"/>
    <w:uiPriority w:val="99"/>
    <w:semiHidden/>
    <w:unhideWhenUsed/>
    <w:rsid w:val="0067273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6727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27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4489</Characters>
  <Application>Microsoft Office Word</Application>
  <DocSecurity>4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LICITACA-04</dc:creator>
  <cp:lastModifiedBy>LICITACA-04</cp:lastModifiedBy>
  <cp:revision>2</cp:revision>
  <dcterms:created xsi:type="dcterms:W3CDTF">2024-02-01T11:57:00Z</dcterms:created>
  <dcterms:modified xsi:type="dcterms:W3CDTF">2024-02-01T11:57:00Z</dcterms:modified>
</cp:coreProperties>
</file>