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93" w:rsidRPr="008E4EB1" w:rsidRDefault="00893B93" w:rsidP="00893B93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TERMO DE CONTRATO – (LEI Nº 14.133/21)</w:t>
      </w:r>
    </w:p>
    <w:p w:rsidR="00893B93" w:rsidRPr="008E4EB1" w:rsidRDefault="00893B93" w:rsidP="00893B93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FORNECIMENTO DE BENS</w:t>
      </w:r>
    </w:p>
    <w:p w:rsidR="00893B93" w:rsidRPr="008E4EB1" w:rsidRDefault="00893B93" w:rsidP="00893B93">
      <w:pPr>
        <w:rPr>
          <w:rFonts w:ascii="Bookman Old Style" w:hAnsi="Bookman Old Style"/>
        </w:rPr>
      </w:pPr>
    </w:p>
    <w:p w:rsidR="00893B93" w:rsidRPr="008E4EB1" w:rsidRDefault="00893B93" w:rsidP="00893B93">
      <w:pPr>
        <w:rPr>
          <w:rFonts w:ascii="Bookman Old Style" w:hAnsi="Bookman Old Style"/>
        </w:rPr>
      </w:pPr>
    </w:p>
    <w:p w:rsidR="00893B93" w:rsidRPr="008E4EB1" w:rsidRDefault="00893B93" w:rsidP="00893B93">
      <w:pPr>
        <w:spacing w:after="120"/>
        <w:ind w:left="2265"/>
        <w:jc w:val="both"/>
        <w:rPr>
          <w:rFonts w:ascii="Bookman Old Style" w:eastAsia="Bookman Old Style" w:hAnsi="Bookman Old Style" w:cs="Bookman Old Style"/>
          <w:b/>
          <w:bCs/>
        </w:rPr>
      </w:pPr>
      <w:r w:rsidRPr="008E4EB1">
        <w:rPr>
          <w:rFonts w:ascii="Bookman Old Style" w:eastAsia="Bookman Old Style" w:hAnsi="Bookman Old Style" w:cs="Bookman Old Style"/>
        </w:rPr>
        <w:t xml:space="preserve">Contrato Administrativo nº </w:t>
      </w:r>
      <w:r>
        <w:rPr>
          <w:rFonts w:ascii="Bookman Old Style" w:eastAsia="Bookman Old Style" w:hAnsi="Bookman Old Style" w:cs="Bookman Old Style"/>
          <w:b/>
        </w:rPr>
        <w:t>034</w:t>
      </w:r>
      <w:r w:rsidRPr="008E4EB1">
        <w:rPr>
          <w:rFonts w:ascii="Bookman Old Style" w:eastAsia="Bookman Old Style" w:hAnsi="Bookman Old Style" w:cs="Bookman Old Style"/>
          <w:b/>
        </w:rPr>
        <w:t>/2024</w:t>
      </w:r>
      <w:r w:rsidRPr="008E4EB1">
        <w:rPr>
          <w:rFonts w:ascii="Bookman Old Style" w:eastAsia="Bookman Old Style" w:hAnsi="Bookman Old Style" w:cs="Bookman Old Style"/>
        </w:rPr>
        <w:t xml:space="preserve"> que fazem entre o Município de Santo Antonio do Sudoeste-Paraná, por intermédio do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 xml:space="preserve">e a empresa </w:t>
      </w:r>
      <w:r w:rsidRPr="00893B93">
        <w:rPr>
          <w:rFonts w:ascii="Bookman Old Style" w:hAnsi="Bookman Old Style" w:cs="Bookman Old Style"/>
          <w:b/>
          <w:bCs/>
          <w:lang w:val="x-none"/>
        </w:rPr>
        <w:t>SÃO BERNARDO COMERCIO DE PRODUTOS PARA SAUDE LTDA</w:t>
      </w:r>
      <w:r w:rsidRPr="008E4EB1">
        <w:rPr>
          <w:rFonts w:ascii="Bookman Old Style" w:hAnsi="Bookman Old Style" w:cs="Bookman Old Style"/>
          <w:b/>
          <w:bCs/>
        </w:rPr>
        <w:t>.</w:t>
      </w:r>
    </w:p>
    <w:p w:rsidR="00893B93" w:rsidRPr="008E4EB1" w:rsidRDefault="00893B93" w:rsidP="00893B93">
      <w:pPr>
        <w:spacing w:after="120"/>
        <w:ind w:left="2265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893B93" w:rsidRPr="00893B93" w:rsidRDefault="00893B93" w:rsidP="00893B93">
      <w:pPr>
        <w:spacing w:before="120" w:after="120"/>
        <w:jc w:val="both"/>
        <w:rPr>
          <w:rFonts w:ascii="Bookman Old Style" w:eastAsia="Bookman Old Style" w:hAnsi="Bookman Old Style" w:cs="Bookman Old Style"/>
        </w:rPr>
      </w:pPr>
      <w:r w:rsidRPr="008E4EB1">
        <w:rPr>
          <w:rFonts w:ascii="Bookman Old Style" w:eastAsia="Bookman Old Style" w:hAnsi="Bookman Old Style" w:cs="Bookman Old Style"/>
        </w:rPr>
        <w:t>Pelo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presente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instrumento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particular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que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firma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um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lado,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MUNICÍPIO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SANTO ANTONIO DO SUDOESTE,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com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sede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na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E4EB1">
        <w:rPr>
          <w:rFonts w:ascii="Bookman Old Style" w:eastAsia="Bookman Old Style" w:hAnsi="Bookman Old Style" w:cs="Bookman Old Style"/>
        </w:rPr>
        <w:t>Ortina</w:t>
      </w:r>
      <w:proofErr w:type="spellEnd"/>
      <w:r w:rsidRPr="008E4EB1">
        <w:rPr>
          <w:rFonts w:ascii="Bookman Old Style" w:eastAsia="Bookman Old Style" w:hAnsi="Bookman Old Style" w:cs="Bookman Old Style"/>
        </w:rPr>
        <w:t xml:space="preserve">, inscrito no CPF sob o nº 020.697.089-77 e abaixo assinado, doravante designado CONTRATANTE, e o </w:t>
      </w:r>
      <w:r w:rsidRPr="00893B93">
        <w:rPr>
          <w:rFonts w:ascii="Bookman Old Style" w:hAnsi="Bookman Old Style" w:cs="Bookman Old Style"/>
          <w:b/>
          <w:bCs/>
          <w:lang w:val="x-none"/>
        </w:rPr>
        <w:t>SÃO BERNARDO COMERCIO DE PRODUTOS PARA SAUDE LTDA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inscrito no CNPJ/MF sob o nº </w:t>
      </w:r>
      <w:r w:rsidRPr="00893B93">
        <w:rPr>
          <w:rFonts w:ascii="Bookman Old Style" w:eastAsiaTheme="minorHAnsi" w:hAnsi="Bookman Old Style" w:cs="Bookman Old Style"/>
          <w:b/>
          <w:bCs/>
          <w:lang w:val="x-none" w:eastAsia="en-US"/>
        </w:rPr>
        <w:t>23.015.239/0001-30</w:t>
      </w:r>
      <w:r w:rsidRPr="008E4EB1">
        <w:rPr>
          <w:rFonts w:ascii="Bookman Old Style" w:eastAsia="Bookman Old Style" w:hAnsi="Bookman Old Style" w:cs="Bookman Old Style"/>
        </w:rPr>
        <w:t xml:space="preserve">, sediado na </w:t>
      </w:r>
      <w:r w:rsidRPr="00893B93">
        <w:rPr>
          <w:rFonts w:ascii="Bookman Old Style" w:eastAsia="Bookman Old Style" w:hAnsi="Bookman Old Style" w:cs="Bookman Old Style"/>
        </w:rPr>
        <w:t>RUA BRASILIO MACHADO, 261 BAIRRO: CENTRO - C</w:t>
      </w:r>
      <w:r>
        <w:rPr>
          <w:rFonts w:ascii="Bookman Old Style" w:eastAsia="Bookman Old Style" w:hAnsi="Bookman Old Style" w:cs="Bookman Old Style"/>
        </w:rPr>
        <w:t xml:space="preserve">IDADE: SÃO </w:t>
      </w:r>
      <w:r w:rsidRPr="00893B93">
        <w:rPr>
          <w:rFonts w:ascii="Bookman Old Style" w:eastAsia="Bookman Old Style" w:hAnsi="Bookman Old Style" w:cs="Bookman Old Style"/>
        </w:rPr>
        <w:t>BERNARDO DO CAMPO/SP CEP: 09</w:t>
      </w:r>
      <w:r>
        <w:rPr>
          <w:rFonts w:ascii="Bookman Old Style" w:eastAsia="Bookman Old Style" w:hAnsi="Bookman Old Style" w:cs="Bookman Old Style"/>
        </w:rPr>
        <w:t>.</w:t>
      </w:r>
      <w:r w:rsidRPr="00893B93">
        <w:rPr>
          <w:rFonts w:ascii="Bookman Old Style" w:eastAsia="Bookman Old Style" w:hAnsi="Bookman Old Style" w:cs="Bookman Old Style"/>
        </w:rPr>
        <w:t>715-140</w:t>
      </w:r>
      <w:r w:rsidRPr="008E4EB1">
        <w:rPr>
          <w:rFonts w:ascii="Bookman Old Style" w:eastAsia="Bookman Old Style" w:hAnsi="Bookman Old Style" w:cs="Bookman Old Style"/>
        </w:rPr>
        <w:t xml:space="preserve"> doravante designado CONTRATADO, neste ato representada por </w:t>
      </w:r>
      <w:r w:rsidRPr="00893B93">
        <w:rPr>
          <w:rFonts w:ascii="Bookman Old Style" w:eastAsia="Bookman Old Style" w:hAnsi="Bookman Old Style" w:cs="Bookman Old Style"/>
        </w:rPr>
        <w:t>FERNANDO AUGUSTO FOLLADOR</w:t>
      </w:r>
      <w:r w:rsidRPr="008E4EB1">
        <w:rPr>
          <w:rFonts w:ascii="Bookman Old Style" w:eastAsia="Bookman Old Style" w:hAnsi="Bookman Old Style" w:cs="Bookman Old Style"/>
        </w:rPr>
        <w:t xml:space="preserve"> (representante legal), conforme atos constitutivos da empresa </w:t>
      </w:r>
      <w:r w:rsidRPr="008E4EB1">
        <w:rPr>
          <w:rFonts w:ascii="Bookman Old Style" w:eastAsia="Bookman Old Style" w:hAnsi="Bookman Old Style" w:cs="Bookman Old Style"/>
          <w:b/>
        </w:rPr>
        <w:t>OU</w:t>
      </w:r>
      <w:r w:rsidRPr="008E4EB1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039/2024 e em observância às disposições da Lei nº 14.133, de 2021, resolvem celebrar o presente Termo de Contrato, decorrente </w:t>
      </w:r>
      <w:r w:rsidRPr="008E4EB1">
        <w:rPr>
          <w:rFonts w:ascii="Bookman Old Style" w:eastAsia="Bookman Old Style" w:hAnsi="Bookman Old Style" w:cs="Bookman Old Style"/>
          <w:b/>
        </w:rPr>
        <w:t>PREGÃO ELETRÔNICO Nº 03/2024</w:t>
      </w:r>
      <w:r w:rsidRPr="008E4EB1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893B93" w:rsidRPr="008E4EB1" w:rsidRDefault="00893B93" w:rsidP="00893B93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893B93" w:rsidRPr="008E4EB1" w:rsidRDefault="00893B93" w:rsidP="00893B93">
      <w:p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8E4EB1">
        <w:rPr>
          <w:rFonts w:ascii="Bookman Old Style" w:eastAsia="Bookman Old Style" w:hAnsi="Bookman Old Style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8E4EB1">
        <w:rPr>
          <w:rFonts w:ascii="Bookman Old Style" w:eastAsia="Times New Roman" w:hAnsi="Bookman Old Style" w:cs="Times New Roman"/>
        </w:rPr>
        <w:t>,</w:t>
      </w:r>
      <w:r w:rsidRPr="008E4EB1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893B93" w:rsidRPr="008E4EB1" w:rsidRDefault="00893B93" w:rsidP="00893B93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859"/>
        <w:gridCol w:w="3012"/>
        <w:gridCol w:w="851"/>
        <w:gridCol w:w="708"/>
        <w:gridCol w:w="993"/>
        <w:gridCol w:w="992"/>
        <w:gridCol w:w="941"/>
      </w:tblGrid>
      <w:tr w:rsidR="00893B93" w:rsidRPr="00893B93" w:rsidTr="00893B93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ITENS</w:t>
            </w:r>
          </w:p>
        </w:tc>
      </w:tr>
      <w:tr w:rsidR="00893B93" w:rsidRPr="00893B93" w:rsidTr="00893B93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893B93" w:rsidRPr="00893B93" w:rsidTr="00893B93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24040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 xml:space="preserve">CANETA LASER Caneta laser C-830, para </w:t>
            </w:r>
            <w:proofErr w:type="spellStart"/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laserpulse</w:t>
            </w:r>
            <w:proofErr w:type="spellEnd"/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, 830 NM – IBRAMED (Embalagem: 25.0cm x 15.0cm x 5.5cm)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IBRAMED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707,00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1.414,00</w:t>
            </w:r>
          </w:p>
        </w:tc>
      </w:tr>
      <w:tr w:rsidR="00893B93" w:rsidRPr="00893B93" w:rsidTr="00893B93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B93" w:rsidRPr="00893B93" w:rsidRDefault="00893B93" w:rsidP="00893B93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</w:pPr>
            <w:r w:rsidRPr="00893B93">
              <w:rPr>
                <w:rFonts w:ascii="Bookman Old Style" w:eastAsiaTheme="minorHAnsi" w:hAnsi="Bookman Old Style"/>
                <w:b/>
                <w:sz w:val="16"/>
                <w:szCs w:val="16"/>
                <w:lang w:val="x-none" w:eastAsia="en-US"/>
              </w:rPr>
              <w:t>1.414,00</w:t>
            </w:r>
          </w:p>
        </w:tc>
      </w:tr>
    </w:tbl>
    <w:p w:rsidR="00893B93" w:rsidRPr="008E4EB1" w:rsidRDefault="00893B93" w:rsidP="00893B93">
      <w:pPr>
        <w:jc w:val="both"/>
        <w:rPr>
          <w:rFonts w:ascii="Bookman Old Style" w:hAnsi="Bookman Old Style"/>
        </w:rPr>
      </w:pPr>
    </w:p>
    <w:p w:rsidR="00893B93" w:rsidRPr="008E4EB1" w:rsidRDefault="00893B93" w:rsidP="00893B93">
      <w:pPr>
        <w:pStyle w:val="PargrafodaLista"/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São anexos a este instrumento e vinculam está contratação, independentemente de transcrição:</w:t>
      </w:r>
    </w:p>
    <w:p w:rsidR="00893B93" w:rsidRPr="008E4EB1" w:rsidRDefault="00893B93" w:rsidP="00893B93">
      <w:pPr>
        <w:numPr>
          <w:ilvl w:val="2"/>
          <w:numId w:val="8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893B93" w:rsidRPr="008E4EB1" w:rsidRDefault="00893B93" w:rsidP="00893B93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893B93" w:rsidRPr="008E4EB1" w:rsidRDefault="00893B93" w:rsidP="00893B93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Proposta do Contratado;</w:t>
      </w:r>
    </w:p>
    <w:p w:rsidR="00893B93" w:rsidRPr="008E4EB1" w:rsidRDefault="00893B93" w:rsidP="00893B93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Eventuais anexos dos documentos supracitados.</w:t>
      </w:r>
    </w:p>
    <w:p w:rsidR="00893B93" w:rsidRPr="008E4EB1" w:rsidRDefault="00893B93" w:rsidP="00893B93">
      <w:pPr>
        <w:jc w:val="both"/>
        <w:rPr>
          <w:rFonts w:ascii="Bookman Old Style" w:hAnsi="Bookman Old Style"/>
        </w:rPr>
      </w:pP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893B93" w:rsidRPr="008E4EB1" w:rsidRDefault="00893B93" w:rsidP="00893B93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prazo de vigência da contratação é de 12 (Doze) meses contados da assinatura do contrato, na forma dos artigos 106 e 107 da Lei n° 14.133/2021.</w:t>
      </w:r>
    </w:p>
    <w:p w:rsidR="00893B93" w:rsidRPr="008E4EB1" w:rsidRDefault="00893B93" w:rsidP="00893B93">
      <w:pPr>
        <w:jc w:val="both"/>
        <w:rPr>
          <w:rFonts w:ascii="Bookman Old Style" w:hAnsi="Bookman Old Style"/>
        </w:rPr>
      </w:pP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As comunicações entre o órgão ou entidade e a contratada devem ser realizadas por escrito sempre que o ato exigir tal formalidade, admitindo-se o uso de mensagem eletrônica para esse fim.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A execução do contrato deverá ser acompanhada e fiscalizada pelo(s) fiscal(is) do contrato, ou pelos respectivos substitutos (Lei nº 14.133, de 2021, art. 117, caput).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Fiscais do contrato: DANIELA TREMEA FAQUINELO e RAQUEL VETTORELLO SERAFINI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definidos e aferidos, e a eventuais penalidades aplicadas, devendo constar do cadastro de atesto de cumprimento de obrigações. (Decreto nº 11.246, de 2022, art. 21, VIII).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QUARTA - SUBCONTRATAÇÃO 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QUINTA - PAGAMENTO (art. 92, V e VI)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PREÇO</w:t>
      </w:r>
    </w:p>
    <w:p w:rsidR="00893B93" w:rsidRPr="008E4EB1" w:rsidRDefault="00893B93" w:rsidP="00893B93">
      <w:pPr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valor total da contratação é de </w:t>
      </w:r>
      <w:r w:rsidRPr="008E4EB1">
        <w:rPr>
          <w:rFonts w:ascii="Bookman Old Style" w:eastAsia="Bookman Old Style" w:hAnsi="Bookman Old Style" w:cs="Bookman Old Style"/>
          <w:b/>
        </w:rPr>
        <w:t xml:space="preserve">R$ </w:t>
      </w:r>
      <w:r w:rsidRPr="00893B93">
        <w:rPr>
          <w:rFonts w:ascii="Bookman Old Style" w:eastAsia="Bookman Old Style" w:hAnsi="Bookman Old Style" w:cs="Bookman Old Style"/>
          <w:b/>
          <w:bCs/>
          <w:lang w:val="x-none"/>
        </w:rPr>
        <w:t>1.414,00</w:t>
      </w:r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r w:rsidRPr="00893B93">
        <w:rPr>
          <w:rFonts w:ascii="Bookman Old Style" w:eastAsia="Bookman Old Style" w:hAnsi="Bookman Old Style" w:cs="Bookman Old Style"/>
          <w:b/>
          <w:bCs/>
          <w:lang w:val="x-none"/>
        </w:rPr>
        <w:t>(Um Mil, Quatrocentos e Quatorze Reais</w:t>
      </w:r>
      <w:r w:rsidRPr="008E4EB1">
        <w:rPr>
          <w:rFonts w:ascii="Bookman Old Style" w:eastAsia="Bookman Old Style" w:hAnsi="Bookman Old Style" w:cs="Bookman Old Style"/>
          <w:b/>
          <w:bCs/>
          <w:lang w:val="x-none"/>
        </w:rPr>
        <w:t>)</w:t>
      </w:r>
      <w:r w:rsidRPr="008E4EB1">
        <w:rPr>
          <w:rFonts w:ascii="Bookman Old Style" w:eastAsia="Bookman Old Style" w:hAnsi="Bookman Old Style" w:cs="Bookman Old Style"/>
          <w:b/>
          <w:bCs/>
        </w:rPr>
        <w:t>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FORMA DE PAGAMENTO</w:t>
      </w:r>
    </w:p>
    <w:p w:rsidR="00893B93" w:rsidRPr="008E4EB1" w:rsidRDefault="00893B93" w:rsidP="00893B93">
      <w:pPr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PRAZO DE PAGAMENTO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8E4EB1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8E4EB1">
        <w:rPr>
          <w:rFonts w:ascii="Bookman Old Style" w:eastAsia="Bookman Old Style" w:hAnsi="Bookman Old Style" w:cs="Bookman Old Style"/>
          <w:shd w:val="clear" w:color="auto" w:fill="FFFFFF"/>
        </w:rPr>
        <w:t> de Preços ao Consumidor Aplicado (IPCA)</w:t>
      </w:r>
      <w:r w:rsidRPr="008E4EB1">
        <w:rPr>
          <w:rFonts w:ascii="Bookman Old Style" w:eastAsia="Bookman Old Style" w:hAnsi="Bookman Old Style" w:cs="Bookman Old Style"/>
        </w:rPr>
        <w:t xml:space="preserve"> de correção monetária.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CONDIÇÕES DE PAGAMENTO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emissão da </w:t>
      </w:r>
      <w:r w:rsidRPr="008E4EB1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893B93" w:rsidRPr="008E4EB1" w:rsidRDefault="00893B93" w:rsidP="00893B93">
      <w:pPr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lastRenderedPageBreak/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prazo de validade; </w:t>
      </w:r>
    </w:p>
    <w:p w:rsidR="00893B93" w:rsidRPr="008E4EB1" w:rsidRDefault="00893B93" w:rsidP="00893B9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data da emissão; </w:t>
      </w:r>
    </w:p>
    <w:p w:rsidR="00893B93" w:rsidRPr="008E4EB1" w:rsidRDefault="00893B93" w:rsidP="00893B9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os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dados do contrato e do órgão contratante; </w:t>
      </w:r>
    </w:p>
    <w:p w:rsidR="00893B93" w:rsidRPr="008E4EB1" w:rsidRDefault="00893B93" w:rsidP="00893B9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período respectivo de execução do contrato; </w:t>
      </w:r>
    </w:p>
    <w:p w:rsidR="00893B93" w:rsidRPr="008E4EB1" w:rsidRDefault="00893B93" w:rsidP="00893B9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valor a pagar; e </w:t>
      </w:r>
    </w:p>
    <w:p w:rsidR="00893B93" w:rsidRPr="008E4EB1" w:rsidRDefault="00893B93" w:rsidP="00893B93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eventual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destaque do valor de retenções tributárias cabíveis.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erro </w:t>
      </w:r>
      <w:r w:rsidRPr="008E4EB1">
        <w:rPr>
          <w:rFonts w:ascii="Bookman Old Style" w:eastAsia="Bookman Old Style" w:hAnsi="Bookman Old Style" w:cs="Bookman Old Style"/>
          <w:color w:val="000000"/>
        </w:rPr>
        <w:t>na</w:t>
      </w:r>
      <w:r w:rsidRPr="008E4EB1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8E4EB1">
        <w:rPr>
          <w:rFonts w:ascii="Bookman Old Style" w:eastAsia="Bookman Old Style" w:hAnsi="Bookman Old Style" w:cs="Bookman Old Style"/>
          <w:color w:val="000000"/>
        </w:rPr>
        <w:t>despesa</w:t>
      </w:r>
      <w:r w:rsidRPr="008E4EB1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8E4EB1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8E4EB1">
        <w:rPr>
          <w:rFonts w:ascii="Bookman Old Style" w:eastAsia="Bookman Old Style" w:hAnsi="Bookman Old Style" w:cs="Bookman Old Style"/>
        </w:rPr>
        <w:t xml:space="preserve">14.133/2021.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8E4EB1">
        <w:rPr>
          <w:rFonts w:ascii="Bookman Old Style" w:eastAsia="Bookman Old Style" w:hAnsi="Bookman Old Style" w:cs="Bookman Old Style"/>
          <w:color w:val="000000"/>
        </w:rPr>
        <w:t>SICAF</w:t>
      </w:r>
      <w:r w:rsidRPr="008E4EB1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Constatando-se, junto ao SICAF, a situação de irregularidade do contratado, será providenciada sua </w:t>
      </w:r>
      <w:r w:rsidRPr="008E4EB1">
        <w:rPr>
          <w:rFonts w:ascii="Bookman Old Style" w:eastAsia="Bookman Old Style" w:hAnsi="Bookman Old Style" w:cs="Bookman Old Style"/>
          <w:color w:val="000000"/>
        </w:rPr>
        <w:t>notificação</w:t>
      </w:r>
      <w:r w:rsidRPr="008E4EB1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893B93" w:rsidRPr="008E4EB1" w:rsidRDefault="00893B93" w:rsidP="00893B93">
      <w:pPr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São obrigações do Contratante: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Exigir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contrato e seus anexos;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lastRenderedPageBreak/>
        <w:t>Receber o objeto no prazo e condições estabelecidas no Termo de Referência;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8E4EB1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8E4EB1">
        <w:rPr>
          <w:rFonts w:ascii="Bookman Old Style" w:eastAsia="Bookman Old Style" w:hAnsi="Bookman Old Style" w:cs="Bookman Old Style"/>
          <w:color w:val="000000"/>
        </w:rPr>
        <w:t>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Efetuar o pagamento ao Contratado</w:t>
      </w:r>
      <w:r w:rsidRPr="008E4EB1">
        <w:rPr>
          <w:rFonts w:ascii="Bookman Old Style" w:eastAsia="Bookman Old Style" w:hAnsi="Bookman Old Style" w:cs="Bookman Old Style"/>
          <w:b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893B93" w:rsidRPr="008E4EB1" w:rsidRDefault="00893B93" w:rsidP="00893B93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893B93" w:rsidRPr="008E4EB1" w:rsidRDefault="00893B93" w:rsidP="00893B93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OITAVA - OBRIGAÇÕES DA CONTRATADA (art. 92, XIV, XVI e XVII)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dos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apresentados na proposta.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893B93" w:rsidRPr="008E4EB1" w:rsidRDefault="00893B93" w:rsidP="00893B93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893B93" w:rsidRPr="008E4EB1" w:rsidRDefault="00893B93" w:rsidP="00893B93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893B93" w:rsidRPr="008E4EB1" w:rsidRDefault="00893B93" w:rsidP="00893B93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893B93" w:rsidRPr="008E4EB1" w:rsidRDefault="00893B93" w:rsidP="00893B93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893B93" w:rsidRPr="008E4EB1" w:rsidRDefault="00893B93" w:rsidP="00893B93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hAnsi="Bookman Old Style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NONA – INFRAÇÕES E SANÇÕES ADMINISTRATIVAS (art. 92, XIV)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893B93" w:rsidRPr="008E4EB1" w:rsidRDefault="00893B93" w:rsidP="00893B93">
      <w:pPr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total do contrato;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deixar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 entregar a documentação exigida para o certame;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mantiver a proposta, salvo em decorrência de fato superveniente devidamente justificado;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celebrar o contrato ou não entregar a documentação exigida para a contratação, quando convocado dentro do prazo de validade de sua proposta;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ensejar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o retardamento da execução ou da entrega do objeto da contratação sem motivo justificado;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apresentar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declaração ou documentação falsa exigida para o certame ou prestar declaração falsa durante a dispensa eletrônica ou execução do contrato;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fraudar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contratação ou praticar ato fraudulento na execução do contrato;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comportar</w:t>
      </w:r>
      <w:proofErr w:type="gramEnd"/>
      <w:r w:rsidRPr="008E4EB1">
        <w:rPr>
          <w:rFonts w:ascii="Bookman Old Style" w:eastAsia="Bookman Old Style" w:hAnsi="Bookman Old Style" w:cs="Bookman Old Style"/>
        </w:rPr>
        <w:t>-se de modo inidôneo ou cometer fraude de qualquer natureza;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atos ilícitos com vistas a frustrar os objetivos do certame;</w:t>
      </w:r>
    </w:p>
    <w:p w:rsidR="00893B93" w:rsidRPr="008E4EB1" w:rsidRDefault="00893B93" w:rsidP="00893B93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 lesivo previsto no art. 5º da Lei nº 12.846, de 1º de agosto de 2013.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Serão aplicadas ao responsável pelas infrações administrativas acima descritas as seguintes sanções:</w:t>
      </w:r>
    </w:p>
    <w:p w:rsidR="00893B93" w:rsidRPr="008E4EB1" w:rsidRDefault="00893B93" w:rsidP="00893B93">
      <w:pPr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Advertência</w:t>
      </w:r>
      <w:r w:rsidRPr="008E4EB1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893B93" w:rsidRPr="008E4EB1" w:rsidRDefault="00893B93" w:rsidP="00893B93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Impedimento de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893B93" w:rsidRPr="008E4EB1" w:rsidRDefault="00893B93" w:rsidP="00893B93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893B93" w:rsidRPr="008E4EB1" w:rsidRDefault="00893B93" w:rsidP="00893B93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Multa:</w:t>
      </w:r>
    </w:p>
    <w:p w:rsidR="00893B93" w:rsidRPr="008E4EB1" w:rsidRDefault="00893B93" w:rsidP="00893B93">
      <w:pPr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893B93" w:rsidRPr="008E4EB1" w:rsidRDefault="00893B93" w:rsidP="00893B93">
      <w:pPr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893B93" w:rsidRPr="008E4EB1" w:rsidRDefault="00893B93" w:rsidP="00893B93">
      <w:pPr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0" w:name="_Hlk78351618"/>
      <w:bookmarkEnd w:id="0"/>
      <w:r w:rsidRPr="008E4EB1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8E4EB1">
        <w:rPr>
          <w:rFonts w:ascii="Bookman Old Style" w:eastAsia="Bookman Old Style" w:hAnsi="Bookman Old Style" w:cs="Bookman Old Style"/>
          <w:i/>
        </w:rPr>
        <w:t xml:space="preserve">05 (cinco) </w:t>
      </w:r>
      <w:r w:rsidRPr="008E4EB1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8E4EB1">
        <w:rPr>
          <w:rFonts w:ascii="Bookman Old Style" w:eastAsia="Bookman Old Style" w:hAnsi="Bookman Old Style" w:cs="Bookman Old Style"/>
          <w:b/>
        </w:rPr>
        <w:t xml:space="preserve">caput </w:t>
      </w:r>
      <w:r w:rsidRPr="008E4EB1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Na aplicação das sanções serão considerados (art. 156, §1º</w:t>
      </w:r>
      <w:proofErr w:type="gramStart"/>
      <w:r w:rsidRPr="008E4EB1">
        <w:rPr>
          <w:rFonts w:ascii="Bookman Old Style" w:eastAsia="Bookman Old Style" w:hAnsi="Bookman Old Style" w:cs="Bookman Old Style"/>
        </w:rPr>
        <w:t>) :</w:t>
      </w:r>
      <w:proofErr w:type="gramEnd"/>
    </w:p>
    <w:p w:rsidR="00893B93" w:rsidRPr="008E4EB1" w:rsidRDefault="00893B93" w:rsidP="00893B93">
      <w:pPr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natureza e a gravidade da infração cometida;</w:t>
      </w:r>
    </w:p>
    <w:p w:rsidR="00893B93" w:rsidRPr="008E4EB1" w:rsidRDefault="00893B93" w:rsidP="00893B93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peculiaridades do caso concreto;</w:t>
      </w:r>
    </w:p>
    <w:p w:rsidR="00893B93" w:rsidRPr="008E4EB1" w:rsidRDefault="00893B93" w:rsidP="00893B93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circunstâncias agravantes ou atenuantes;</w:t>
      </w:r>
    </w:p>
    <w:p w:rsidR="00893B93" w:rsidRPr="008E4EB1" w:rsidRDefault="00893B93" w:rsidP="00893B93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os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danos que dela provierem para o Contratante;</w:t>
      </w:r>
    </w:p>
    <w:p w:rsidR="00893B93" w:rsidRPr="008E4EB1" w:rsidRDefault="00893B93" w:rsidP="00893B93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implantação ou o aperfeiçoamento de programa de integridade, conforme normas e orientações dos órgãos de controle.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E4EB1">
        <w:rPr>
          <w:rFonts w:ascii="Bookman Old Style" w:eastAsia="Bookman Old Style" w:hAnsi="Bookman Old Style" w:cs="Bookman Old Style"/>
        </w:rPr>
        <w:t>Ceis</w:t>
      </w:r>
      <w:proofErr w:type="spellEnd"/>
      <w:r w:rsidRPr="008E4EB1">
        <w:rPr>
          <w:rFonts w:ascii="Bookman Old Style" w:eastAsia="Bookman Old Style" w:hAnsi="Bookman Old Style" w:cs="Bookman Old Style"/>
        </w:rPr>
        <w:t>) e no Cadastro Nacional de Empresas Punidas (</w:t>
      </w:r>
      <w:proofErr w:type="spellStart"/>
      <w:r w:rsidRPr="008E4EB1">
        <w:rPr>
          <w:rFonts w:ascii="Bookman Old Style" w:eastAsia="Bookman Old Style" w:hAnsi="Bookman Old Style" w:cs="Bookman Old Style"/>
        </w:rPr>
        <w:t>Cnep</w:t>
      </w:r>
      <w:proofErr w:type="spellEnd"/>
      <w:r w:rsidRPr="008E4EB1">
        <w:rPr>
          <w:rFonts w:ascii="Bookman Old Style" w:eastAsia="Bookman Old Style" w:hAnsi="Bookman Old Style" w:cs="Bookman Old Style"/>
        </w:rPr>
        <w:t>), instituídos no âmbito do Poder Executivo Federal. (Art. 161)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893B93" w:rsidRPr="008E4EB1" w:rsidRDefault="00893B93" w:rsidP="00893B93">
      <w:pPr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ficará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ele constituído em mora, sendo-lhe aplicáveis as respectivas sanções administrativas; e  </w:t>
      </w:r>
    </w:p>
    <w:p w:rsidR="00893B93" w:rsidRPr="008E4EB1" w:rsidRDefault="00893B93" w:rsidP="00893B93">
      <w:pPr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poderá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E4EB1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8E4EB1">
        <w:rPr>
          <w:rFonts w:ascii="Bookman Old Style" w:eastAsia="Times New Roman" w:hAnsi="Bookman Old Style" w:cs="Times New Roman"/>
        </w:rPr>
        <w:t>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</w:t>
      </w:r>
      <w:r w:rsidRPr="008E4EB1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8E4EB1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8E4EB1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893B93" w:rsidRPr="008E4EB1" w:rsidRDefault="00893B93" w:rsidP="00893B93">
      <w:pPr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8E4EB1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893B93" w:rsidRPr="008E4EB1" w:rsidRDefault="00893B93" w:rsidP="00893B93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Indenizações e multas.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893B93" w:rsidRPr="008E4EB1" w:rsidRDefault="00893B93" w:rsidP="00893B93">
      <w:pPr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As despesas decorrentes da presente contratação correrão à conta de recursos específicos consignados no Orçamento da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>deste exercício, na dotação 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893B93" w:rsidRPr="008E4EB1" w:rsidTr="002A1C80">
        <w:tc>
          <w:tcPr>
            <w:tcW w:w="9622" w:type="dxa"/>
            <w:gridSpan w:val="6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Dotações</w:t>
            </w:r>
          </w:p>
        </w:tc>
      </w:tr>
      <w:tr w:rsidR="00893B93" w:rsidRPr="008E4EB1" w:rsidTr="002A1C80">
        <w:tc>
          <w:tcPr>
            <w:tcW w:w="1693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Grupo da fonte</w:t>
            </w:r>
          </w:p>
        </w:tc>
      </w:tr>
      <w:tr w:rsidR="00893B93" w:rsidRPr="008E4EB1" w:rsidTr="002A1C80">
        <w:tc>
          <w:tcPr>
            <w:tcW w:w="1693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893B93" w:rsidRPr="008E4EB1" w:rsidRDefault="00893B93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 Exercício</w:t>
            </w:r>
          </w:p>
        </w:tc>
      </w:tr>
    </w:tbl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DÉCIMA SEGUNDA – DOS CASOS OMISSOS (art. 92, III) </w:t>
      </w:r>
      <w:r w:rsidRPr="008E4EB1">
        <w:rPr>
          <w:rFonts w:ascii="Bookman Old Style" w:eastAsia="Bookman Old Style" w:hAnsi="Bookman Old Style" w:cs="Bookman Old Style"/>
          <w:b/>
        </w:rPr>
        <w:t>CASOS OMISSOS (art. 92, III)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Eventuais alterações contratuais reger-se-ão pela disciplina dos </w:t>
      </w:r>
      <w:proofErr w:type="spellStart"/>
      <w:r w:rsidRPr="008E4EB1">
        <w:rPr>
          <w:rFonts w:ascii="Bookman Old Style" w:eastAsia="Bookman Old Style" w:hAnsi="Bookman Old Style" w:cs="Bookman Old Style"/>
        </w:rPr>
        <w:t>arts</w:t>
      </w:r>
      <w:proofErr w:type="spellEnd"/>
      <w:r w:rsidRPr="008E4EB1">
        <w:rPr>
          <w:rFonts w:ascii="Bookman Old Style" w:eastAsia="Bookman Old Style" w:hAnsi="Bookman Old Style" w:cs="Bookman Old Style"/>
        </w:rPr>
        <w:t>. 124 e seguintes da Lei nº 14.133, de 2021.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893B93" w:rsidRPr="008E4EB1" w:rsidRDefault="00893B93" w:rsidP="00893B93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893B93" w:rsidRPr="008E4EB1" w:rsidRDefault="00893B93" w:rsidP="00893B93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893B93" w:rsidRPr="008E4EB1" w:rsidRDefault="00893B93" w:rsidP="00893B93">
      <w:pPr>
        <w:spacing w:after="120"/>
        <w:ind w:right="-15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Santo Antonio do Sudoeste – PR, 02 de fevereiro de 2024.</w:t>
      </w:r>
    </w:p>
    <w:p w:rsidR="00893B93" w:rsidRPr="008E4EB1" w:rsidRDefault="00893B93" w:rsidP="00893B93">
      <w:pPr>
        <w:spacing w:after="120"/>
        <w:jc w:val="both"/>
        <w:rPr>
          <w:rFonts w:ascii="Bookman Old Style" w:hAnsi="Bookman Old Style"/>
        </w:rPr>
      </w:pPr>
    </w:p>
    <w:p w:rsidR="00893B93" w:rsidRPr="008E4EB1" w:rsidRDefault="00893B93" w:rsidP="00893B93">
      <w:pPr>
        <w:rPr>
          <w:rFonts w:ascii="Bookman Old Style" w:hAnsi="Bookman Old Style"/>
        </w:rPr>
      </w:pP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RICARDO ANTONIO ORTINA</w:t>
      </w: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93B93" w:rsidRPr="008E4EB1" w:rsidRDefault="00893B93" w:rsidP="00893B93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Default="00893B93" w:rsidP="00893B93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Default="00893B93" w:rsidP="00893B93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SÃO BERNARDO COMERCIO DE PRODUTOS PARA SAUDE LTDA</w:t>
      </w:r>
    </w:p>
    <w:p w:rsidR="00893B93" w:rsidRDefault="00893B93" w:rsidP="00893B93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CNPJ Nº: 23.015.239/0001-30</w:t>
      </w:r>
    </w:p>
    <w:p w:rsidR="00893B93" w:rsidRDefault="00236668" w:rsidP="00893B93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FERNANDO AUGUSTO FOLLADOR</w:t>
      </w:r>
      <w:bookmarkStart w:id="1" w:name="_GoBack"/>
      <w:bookmarkEnd w:id="1"/>
    </w:p>
    <w:p w:rsidR="00893B93" w:rsidRDefault="00893B93" w:rsidP="00893B93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CPF Nº: 048.151.419-83</w:t>
      </w:r>
    </w:p>
    <w:p w:rsidR="00893B93" w:rsidRPr="008E4EB1" w:rsidRDefault="00893B93" w:rsidP="00893B93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Testemunhas:</w:t>
      </w: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FLÁVIA REGINA MAI</w:t>
      </w: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893B93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893B93" w:rsidRPr="008E4EB1" w:rsidRDefault="00893B93" w:rsidP="00893B93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CESAR AUGUSTO ORTEGA</w:t>
      </w:r>
    </w:p>
    <w:p w:rsidR="006B0418" w:rsidRPr="00893B93" w:rsidRDefault="00893B93" w:rsidP="00893B93">
      <w:pPr>
        <w:jc w:val="center"/>
        <w:rPr>
          <w:rFonts w:ascii="Bookman Old Style" w:hAnsi="Bookman Old Style"/>
        </w:rPr>
      </w:pPr>
      <w:r w:rsidRPr="008E4EB1">
        <w:rPr>
          <w:rFonts w:ascii="Bookman Old Style" w:hAnsi="Bookman Old Style" w:cs="Bookman Old Style"/>
        </w:rPr>
        <w:t>CPF Nº 661.608.719-00</w:t>
      </w:r>
    </w:p>
    <w:sectPr w:rsidR="006B0418" w:rsidRPr="00893B93" w:rsidSect="00E34799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6668">
      <w:r>
        <w:separator/>
      </w:r>
    </w:p>
  </w:endnote>
  <w:endnote w:type="continuationSeparator" w:id="0">
    <w:p w:rsidR="00000000" w:rsidRDefault="0023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2366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6668">
      <w:r>
        <w:separator/>
      </w:r>
    </w:p>
  </w:footnote>
  <w:footnote w:type="continuationSeparator" w:id="0">
    <w:p w:rsidR="00000000" w:rsidRDefault="0023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893B93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F23D77" wp14:editId="6E2CC4E3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893B93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893B9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893B93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893B93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2366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93"/>
    <w:rsid w:val="00236668"/>
    <w:rsid w:val="006B0418"/>
    <w:rsid w:val="00893B93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FBD3-07C5-4EC9-9B0D-2FA5F7E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9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93B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3B93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893B93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893B93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93B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B93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93B93"/>
    <w:rPr>
      <w:color w:val="0563C1"/>
      <w:u w:val="single"/>
    </w:rPr>
  </w:style>
  <w:style w:type="paragraph" w:customStyle="1" w:styleId="ParagraphStyle">
    <w:name w:val="Paragraph Style"/>
    <w:rsid w:val="00893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3961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2</cp:revision>
  <dcterms:created xsi:type="dcterms:W3CDTF">2024-02-05T17:20:00Z</dcterms:created>
  <dcterms:modified xsi:type="dcterms:W3CDTF">2024-02-05T17:59:00Z</dcterms:modified>
</cp:coreProperties>
</file>