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4B" w:rsidRPr="00412E43" w:rsidRDefault="0046784B" w:rsidP="0046784B">
      <w:pPr>
        <w:jc w:val="center"/>
        <w:rPr>
          <w:rFonts w:ascii="Bookman Old Style" w:hAnsi="Bookman Old Style"/>
        </w:rPr>
      </w:pPr>
      <w:r w:rsidRPr="00412E43">
        <w:rPr>
          <w:rFonts w:ascii="Bookman Old Style" w:eastAsia="Bookman Old Style" w:hAnsi="Bookman Old Style" w:cs="Bookman Old Style"/>
          <w:b/>
        </w:rPr>
        <w:t>TERMO DE CONTRATO – (LEI Nº 14.133/21)</w:t>
      </w:r>
    </w:p>
    <w:p w:rsidR="0046784B" w:rsidRPr="00412E43" w:rsidRDefault="0046784B" w:rsidP="0046784B">
      <w:pPr>
        <w:jc w:val="center"/>
        <w:rPr>
          <w:rFonts w:ascii="Bookman Old Style" w:hAnsi="Bookman Old Style"/>
        </w:rPr>
      </w:pPr>
      <w:r w:rsidRPr="00412E43">
        <w:rPr>
          <w:rFonts w:ascii="Bookman Old Style" w:eastAsia="Bookman Old Style" w:hAnsi="Bookman Old Style" w:cs="Bookman Old Style"/>
          <w:b/>
        </w:rPr>
        <w:t>FORNECIMENTO DE BENS</w:t>
      </w:r>
    </w:p>
    <w:p w:rsidR="0046784B" w:rsidRDefault="0046784B" w:rsidP="0046784B">
      <w:pPr>
        <w:rPr>
          <w:rFonts w:ascii="Bookman Old Style" w:hAnsi="Bookman Old Style"/>
        </w:rPr>
      </w:pPr>
    </w:p>
    <w:p w:rsidR="0082074C" w:rsidRPr="00412E43" w:rsidRDefault="0082074C" w:rsidP="0046784B">
      <w:pPr>
        <w:rPr>
          <w:rFonts w:ascii="Bookman Old Style" w:hAnsi="Bookman Old Style"/>
        </w:rPr>
      </w:pPr>
    </w:p>
    <w:p w:rsidR="0046784B" w:rsidRDefault="0046784B" w:rsidP="0046784B">
      <w:pPr>
        <w:spacing w:after="120"/>
        <w:ind w:left="2265"/>
        <w:jc w:val="both"/>
        <w:rPr>
          <w:rFonts w:ascii="Bookman Old Style" w:eastAsia="Bookman Old Style" w:hAnsi="Bookman Old Style" w:cs="Bookman Old Style"/>
          <w:b/>
          <w:bCs/>
        </w:rPr>
      </w:pPr>
      <w:r w:rsidRPr="00412E43">
        <w:rPr>
          <w:rFonts w:ascii="Bookman Old Style" w:eastAsia="Bookman Old Style" w:hAnsi="Bookman Old Style" w:cs="Bookman Old Style"/>
        </w:rPr>
        <w:t xml:space="preserve">Contrato Administrativo nº </w:t>
      </w:r>
      <w:r>
        <w:rPr>
          <w:rFonts w:ascii="Bookman Old Style" w:eastAsia="Bookman Old Style" w:hAnsi="Bookman Old Style" w:cs="Bookman Old Style"/>
          <w:b/>
        </w:rPr>
        <w:t>031</w:t>
      </w:r>
      <w:r w:rsidRPr="00E34799">
        <w:rPr>
          <w:rFonts w:ascii="Bookman Old Style" w:eastAsia="Bookman Old Style" w:hAnsi="Bookman Old Style" w:cs="Bookman Old Style"/>
          <w:b/>
        </w:rPr>
        <w:t>/2024</w:t>
      </w:r>
      <w:r w:rsidRPr="00412E43">
        <w:rPr>
          <w:rFonts w:ascii="Bookman Old Style" w:eastAsia="Bookman Old Style" w:hAnsi="Bookman Old Style" w:cs="Bookman Old Style"/>
        </w:rPr>
        <w:t xml:space="preserve"> que fazem entre o Município de Santo Antonio do Sudoes</w:t>
      </w:r>
      <w:r>
        <w:rPr>
          <w:rFonts w:ascii="Bookman Old Style" w:eastAsia="Bookman Old Style" w:hAnsi="Bookman Old Style" w:cs="Bookman Old Style"/>
        </w:rPr>
        <w:t>te-Paraná, por intermédio do</w:t>
      </w:r>
      <w:r w:rsidRPr="00412E43">
        <w:rPr>
          <w:rFonts w:ascii="Bookman Old Style" w:eastAsia="Bookman Old Style" w:hAnsi="Bookman Old Style" w:cs="Bookman Old Style"/>
        </w:rPr>
        <w:t xml:space="preserve"> </w:t>
      </w:r>
      <w:r w:rsidRPr="00412E43">
        <w:rPr>
          <w:rFonts w:ascii="Bookman Old Style" w:eastAsia="Bookman Old Style" w:hAnsi="Bookman Old Style" w:cs="Bookman Old Style"/>
          <w:color w:val="000000"/>
        </w:rPr>
        <w:t xml:space="preserve">GABINETE DA SECRETARIA DE SAUDE </w:t>
      </w:r>
      <w:r w:rsidRPr="00412E43">
        <w:rPr>
          <w:rFonts w:ascii="Bookman Old Style" w:eastAsia="Bookman Old Style" w:hAnsi="Bookman Old Style" w:cs="Bookman Old Style"/>
        </w:rPr>
        <w:t xml:space="preserve">e a empresa </w:t>
      </w:r>
      <w:r w:rsidRPr="0046784B">
        <w:rPr>
          <w:rFonts w:ascii="Bookman Old Style" w:hAnsi="Bookman Old Style" w:cs="Bookman Old Style"/>
          <w:b/>
          <w:bCs/>
          <w:lang w:val="x-none"/>
        </w:rPr>
        <w:t>PROMEDI DISTRIBUIDORA DE PRODUTOS HOSPITALARES LTDA</w:t>
      </w:r>
      <w:r>
        <w:rPr>
          <w:rFonts w:ascii="Bookman Old Style" w:eastAsia="Bookman Old Style" w:hAnsi="Bookman Old Style" w:cs="Bookman Old Style"/>
          <w:b/>
          <w:bCs/>
        </w:rPr>
        <w:t>.</w:t>
      </w:r>
    </w:p>
    <w:p w:rsidR="0082074C" w:rsidRPr="00E34799" w:rsidRDefault="0082074C" w:rsidP="0046784B">
      <w:pPr>
        <w:spacing w:after="120"/>
        <w:ind w:left="2265"/>
        <w:jc w:val="both"/>
        <w:rPr>
          <w:rFonts w:ascii="Bookman Old Style" w:hAnsi="Bookman Old Style"/>
        </w:rPr>
      </w:pPr>
    </w:p>
    <w:p w:rsidR="0046784B" w:rsidRPr="0046784B" w:rsidRDefault="0046784B" w:rsidP="0046784B">
      <w:pPr>
        <w:spacing w:before="120" w:after="120"/>
        <w:jc w:val="both"/>
        <w:rPr>
          <w:rFonts w:ascii="Bookman Old Style" w:hAnsi="Bookman Old Style" w:cs="Bookman Old Style"/>
          <w:b/>
          <w:bCs/>
        </w:rPr>
      </w:pPr>
      <w:r w:rsidRPr="00412E43">
        <w:rPr>
          <w:rFonts w:ascii="Bookman Old Style" w:eastAsia="Bookman Old Style" w:hAnsi="Bookman Old Style" w:cs="Bookman Old Style"/>
        </w:rPr>
        <w:t>Pelo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presente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instrumento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particular</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que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firma</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de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um</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lado,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MUNICÍPIO</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DE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SANTO ANTONIO DO SUDOESTE,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com</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sede</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na</w:t>
      </w:r>
      <w:r w:rsidRPr="00412E43">
        <w:rPr>
          <w:rFonts w:ascii="Bookman Old Style" w:eastAsia="Bookman Old Style" w:hAnsi="Bookman Old Style" w:cs="Bookman Old Style"/>
          <w:spacing w:val="-1"/>
        </w:rPr>
        <w:t xml:space="preserve"> </w:t>
      </w:r>
      <w:r w:rsidRPr="00412E43">
        <w:rPr>
          <w:rFonts w:ascii="Bookman Old Style" w:eastAsia="Bookman Old Style" w:hAnsi="Bookman Old Style" w:cs="Bookman Old Style"/>
        </w:rPr>
        <w:t xml:space="preserve">Avenida Brasil, 1431, estado do Paraná, inscrito no CNPJ/MF sob o n° 75.927.582/0001-55, neste ato representado pelo Prefeito Municipal, senhor Ricardo Antonio </w:t>
      </w:r>
      <w:proofErr w:type="spellStart"/>
      <w:r w:rsidRPr="00412E43">
        <w:rPr>
          <w:rFonts w:ascii="Bookman Old Style" w:eastAsia="Bookman Old Style" w:hAnsi="Bookman Old Style" w:cs="Bookman Old Style"/>
        </w:rPr>
        <w:t>Ortina</w:t>
      </w:r>
      <w:proofErr w:type="spellEnd"/>
      <w:r w:rsidRPr="00412E43">
        <w:rPr>
          <w:rFonts w:ascii="Bookman Old Style" w:eastAsia="Bookman Old Style" w:hAnsi="Bookman Old Style" w:cs="Bookman Old Style"/>
        </w:rPr>
        <w:t>, inscrito no CPF sob o nº 020.697.089-77 e abaixo assinado, dorava</w:t>
      </w:r>
      <w:r>
        <w:rPr>
          <w:rFonts w:ascii="Bookman Old Style" w:eastAsia="Bookman Old Style" w:hAnsi="Bookman Old Style" w:cs="Bookman Old Style"/>
        </w:rPr>
        <w:t xml:space="preserve">nte designado CONTRATANTE, e o </w:t>
      </w:r>
      <w:r w:rsidRPr="0046784B">
        <w:rPr>
          <w:rFonts w:ascii="Bookman Old Style" w:hAnsi="Bookman Old Style" w:cs="Bookman Old Style"/>
          <w:b/>
          <w:bCs/>
          <w:lang w:val="x-none"/>
        </w:rPr>
        <w:t>PROMEDI DISTRIBUIDORA DE PRODUTOS HOSPITALARES LTDA</w:t>
      </w:r>
      <w:r>
        <w:rPr>
          <w:rFonts w:ascii="Bookman Old Style" w:hAnsi="Bookman Old Style" w:cs="Bookman Old Style"/>
          <w:b/>
          <w:bCs/>
        </w:rPr>
        <w:t xml:space="preserve"> </w:t>
      </w:r>
      <w:r>
        <w:rPr>
          <w:rFonts w:ascii="Bookman Old Style" w:eastAsia="Bookman Old Style" w:hAnsi="Bookman Old Style" w:cs="Bookman Old Style"/>
        </w:rPr>
        <w:t>inscrito</w:t>
      </w:r>
      <w:r w:rsidRPr="00412E43">
        <w:rPr>
          <w:rFonts w:ascii="Bookman Old Style" w:eastAsia="Bookman Old Style" w:hAnsi="Bookman Old Style" w:cs="Bookman Old Style"/>
        </w:rPr>
        <w:t xml:space="preserve"> no CNPJ/MF sob o</w:t>
      </w:r>
      <w:r>
        <w:rPr>
          <w:rFonts w:ascii="Bookman Old Style" w:eastAsia="Bookman Old Style" w:hAnsi="Bookman Old Style" w:cs="Bookman Old Style"/>
        </w:rPr>
        <w:t xml:space="preserve"> nº </w:t>
      </w:r>
      <w:r w:rsidRPr="0046784B">
        <w:rPr>
          <w:rFonts w:ascii="Bookman Old Style" w:eastAsiaTheme="minorHAnsi" w:hAnsi="Bookman Old Style" w:cs="Bookman Old Style"/>
          <w:b/>
          <w:bCs/>
          <w:lang w:val="x-none" w:eastAsia="en-US"/>
        </w:rPr>
        <w:t>27.806.274/0001-29</w:t>
      </w:r>
      <w:r>
        <w:rPr>
          <w:rFonts w:ascii="Bookman Old Style" w:eastAsia="Bookman Old Style" w:hAnsi="Bookman Old Style" w:cs="Bookman Old Style"/>
        </w:rPr>
        <w:t>, sediado</w:t>
      </w:r>
      <w:r w:rsidRPr="00412E43">
        <w:rPr>
          <w:rFonts w:ascii="Bookman Old Style" w:eastAsia="Bookman Old Style" w:hAnsi="Bookman Old Style" w:cs="Bookman Old Style"/>
        </w:rPr>
        <w:t xml:space="preserve"> na </w:t>
      </w:r>
      <w:r>
        <w:rPr>
          <w:rFonts w:ascii="Bookman Old Style" w:eastAsia="Bookman Old Style" w:hAnsi="Bookman Old Style" w:cs="Bookman Old Style"/>
        </w:rPr>
        <w:t>AV. CALDAS JÚNIOR, 456</w:t>
      </w:r>
      <w:r>
        <w:rPr>
          <w:rFonts w:ascii="Bookman Old Style" w:eastAsia="Bookman Old Style" w:hAnsi="Bookman Old Style" w:cs="Bookman Old Style"/>
        </w:rPr>
        <w:t xml:space="preserve">, BAIRRO </w:t>
      </w:r>
      <w:r>
        <w:rPr>
          <w:rFonts w:ascii="Bookman Old Style" w:eastAsia="Bookman Old Style" w:hAnsi="Bookman Old Style" w:cs="Bookman Old Style"/>
        </w:rPr>
        <w:t>TRÊS VENDAS</w:t>
      </w:r>
      <w:r w:rsidRPr="00412E43">
        <w:rPr>
          <w:rFonts w:ascii="Bookman Old Style" w:eastAsia="Bookman Old Style" w:hAnsi="Bookman Old Style" w:cs="Bookman Old Style"/>
        </w:rPr>
        <w:t xml:space="preserve">, em </w:t>
      </w:r>
      <w:r>
        <w:rPr>
          <w:rFonts w:ascii="Bookman Old Style" w:eastAsia="Bookman Old Style" w:hAnsi="Bookman Old Style" w:cs="Bookman Old Style"/>
        </w:rPr>
        <w:t>ERECHIM/RS</w:t>
      </w:r>
      <w:r>
        <w:rPr>
          <w:rFonts w:ascii="Bookman Old Style" w:eastAsia="Bookman Old Style" w:hAnsi="Bookman Old Style" w:cs="Bookman Old Style"/>
        </w:rPr>
        <w:t xml:space="preserve"> - CEP: </w:t>
      </w:r>
      <w:r w:rsidRPr="0046784B">
        <w:rPr>
          <w:rFonts w:ascii="Bookman Old Style" w:eastAsia="Bookman Old Style" w:hAnsi="Bookman Old Style" w:cs="Bookman Old Style"/>
        </w:rPr>
        <w:t>99.713-190</w:t>
      </w:r>
      <w:r>
        <w:rPr>
          <w:rFonts w:ascii="Bookman Old Style" w:eastAsia="Bookman Old Style" w:hAnsi="Bookman Old Style" w:cs="Bookman Old Style"/>
        </w:rPr>
        <w:t xml:space="preserve"> </w:t>
      </w:r>
      <w:r w:rsidRPr="00412E43">
        <w:rPr>
          <w:rFonts w:ascii="Bookman Old Style" w:eastAsia="Bookman Old Style" w:hAnsi="Bookman Old Style" w:cs="Bookman Old Style"/>
        </w:rPr>
        <w:t xml:space="preserve">doravante designado CONTRATADO, neste ato representada por </w:t>
      </w:r>
      <w:r>
        <w:rPr>
          <w:rFonts w:ascii="Bookman Old Style" w:eastAsia="Bookman Old Style" w:hAnsi="Bookman Old Style" w:cs="Bookman Old Style"/>
        </w:rPr>
        <w:t>FABIANA DOMINGUES</w:t>
      </w:r>
      <w:r w:rsidRPr="00412E43">
        <w:rPr>
          <w:rFonts w:ascii="Bookman Old Style" w:eastAsia="Bookman Old Style" w:hAnsi="Bookman Old Style" w:cs="Bookman Old Style"/>
        </w:rPr>
        <w:t xml:space="preserve"> (</w:t>
      </w:r>
      <w:r>
        <w:rPr>
          <w:rFonts w:ascii="Bookman Old Style" w:eastAsia="Bookman Old Style" w:hAnsi="Bookman Old Style" w:cs="Bookman Old Style"/>
        </w:rPr>
        <w:t>representante legal/sócia</w:t>
      </w:r>
      <w:r w:rsidRPr="00412E43">
        <w:rPr>
          <w:rFonts w:ascii="Bookman Old Style" w:eastAsia="Bookman Old Style" w:hAnsi="Bookman Old Style" w:cs="Bookman Old Style"/>
        </w:rPr>
        <w:t xml:space="preserve">), conforme atos constitutivos da empresa </w:t>
      </w:r>
      <w:r w:rsidRPr="00412E43">
        <w:rPr>
          <w:rFonts w:ascii="Bookman Old Style" w:eastAsia="Bookman Old Style" w:hAnsi="Bookman Old Style" w:cs="Bookman Old Style"/>
          <w:b/>
        </w:rPr>
        <w:t>OU</w:t>
      </w:r>
      <w:r w:rsidRPr="00412E43">
        <w:rPr>
          <w:rFonts w:ascii="Bookman Old Style" w:eastAsia="Bookman Old Style" w:hAnsi="Bookman Old Style" w:cs="Bookman Old Style"/>
        </w:rPr>
        <w:t xml:space="preserve"> procuração apresentada nos autos, tendo em vista o que consta no Processo nº </w:t>
      </w:r>
      <w:r>
        <w:rPr>
          <w:rFonts w:ascii="Bookman Old Style" w:eastAsia="Bookman Old Style" w:hAnsi="Bookman Old Style" w:cs="Bookman Old Style"/>
        </w:rPr>
        <w:t>039/2024</w:t>
      </w:r>
      <w:r w:rsidRPr="00412E43">
        <w:rPr>
          <w:rFonts w:ascii="Bookman Old Style" w:eastAsia="Bookman Old Style" w:hAnsi="Bookman Old Style" w:cs="Bookman Old Style"/>
        </w:rPr>
        <w:t xml:space="preserve"> e em observância às disposições da Lei nº 14.133, de 2021, resolvem celebrar o presente Termo de Contrato, decorrente </w:t>
      </w:r>
      <w:r w:rsidRPr="00E34799">
        <w:rPr>
          <w:rFonts w:ascii="Bookman Old Style" w:eastAsia="Bookman Old Style" w:hAnsi="Bookman Old Style" w:cs="Bookman Old Style"/>
          <w:b/>
        </w:rPr>
        <w:t>PREGÃO ELETRÔNICO Nº 03/2024</w:t>
      </w:r>
      <w:r w:rsidRPr="00412E43">
        <w:rPr>
          <w:rFonts w:ascii="Bookman Old Style" w:eastAsia="Bookman Old Style" w:hAnsi="Bookman Old Style" w:cs="Bookman Old Style"/>
        </w:rPr>
        <w:t>, mediante as cláusulas e condições a seguir enunciadas.</w:t>
      </w:r>
    </w:p>
    <w:p w:rsidR="0046784B" w:rsidRPr="00412E43" w:rsidRDefault="0046784B" w:rsidP="0046784B">
      <w:pPr>
        <w:numPr>
          <w:ilvl w:val="0"/>
          <w:numId w:val="6"/>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PRIMEIRA – OBJETO (art. 92, I e II)</w:t>
      </w:r>
    </w:p>
    <w:p w:rsidR="0046784B" w:rsidRPr="00412E43" w:rsidRDefault="0046784B" w:rsidP="0046784B">
      <w:pPr>
        <w:jc w:val="both"/>
        <w:rPr>
          <w:rFonts w:ascii="Bookman Old Style" w:hAnsi="Bookman Old Style"/>
        </w:rPr>
      </w:pPr>
      <w:r w:rsidRPr="00412E43">
        <w:rPr>
          <w:rFonts w:ascii="Bookman Old Style" w:eastAsia="Bookman Old Style" w:hAnsi="Bookman Old Style" w:cs="Bookman Old Style"/>
          <w:color w:val="000000"/>
        </w:rPr>
        <w:t xml:space="preserve">O objeto do presente instrumento é a </w:t>
      </w:r>
      <w:r w:rsidRPr="00412E43">
        <w:rPr>
          <w:rFonts w:ascii="Bookman Old Style" w:eastAsia="Bookman Old Style" w:hAnsi="Bookman Old Style" w:cs="Bookman Old Style"/>
        </w:rPr>
        <w:t>Aquisição de equipamentos de reabilitação multiprofissional para Rede de Atenção da Linha de Cuidado à Saúde da Pessoa com Deficiência e Reabilitação da Síndrome pós COVID-19, através da Resolução SESA nº 870/2021</w:t>
      </w:r>
      <w:r w:rsidRPr="00412E43">
        <w:rPr>
          <w:rFonts w:ascii="Bookman Old Style" w:eastAsia="Times New Roman" w:hAnsi="Bookman Old Style" w:cs="Times New Roman"/>
        </w:rPr>
        <w:t>,</w:t>
      </w:r>
      <w:r w:rsidRPr="00412E43">
        <w:rPr>
          <w:rFonts w:ascii="Bookman Old Style" w:eastAsia="Bookman Old Style" w:hAnsi="Bookman Old Style" w:cs="Bookman Old Style"/>
        </w:rPr>
        <w:t xml:space="preserve"> conforme quantidades, especificações, exigências e condições estabelecidas neste documento, conforme inciso I do § 1° do art. 18 da Lei nº 14.133, de 2021, conforme especificações, características e quantidades abaixo:</w:t>
      </w:r>
    </w:p>
    <w:p w:rsidR="0046784B" w:rsidRPr="0046784B" w:rsidRDefault="0046784B" w:rsidP="0046784B">
      <w:pPr>
        <w:numPr>
          <w:ilvl w:val="1"/>
          <w:numId w:val="7"/>
        </w:numPr>
        <w:jc w:val="both"/>
        <w:rPr>
          <w:rFonts w:ascii="Bookman Old Style" w:hAnsi="Bookman Old Style"/>
        </w:rPr>
      </w:pPr>
      <w:r w:rsidRPr="00412E43">
        <w:rPr>
          <w:rFonts w:ascii="Bookman Old Style" w:eastAsia="Bookman Old Style" w:hAnsi="Bookman Old Style" w:cs="Bookman Old Style"/>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118"/>
        <w:gridCol w:w="851"/>
        <w:gridCol w:w="708"/>
        <w:gridCol w:w="993"/>
        <w:gridCol w:w="992"/>
        <w:gridCol w:w="941"/>
      </w:tblGrid>
      <w:tr w:rsidR="0046784B" w:rsidRPr="0046784B" w:rsidTr="0082074C">
        <w:tc>
          <w:tcPr>
            <w:tcW w:w="9730" w:type="dxa"/>
            <w:gridSpan w:val="9"/>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ITENS</w:t>
            </w:r>
          </w:p>
        </w:tc>
      </w:tr>
      <w:tr w:rsidR="0082074C" w:rsidRPr="0046784B" w:rsidTr="0082074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Código do produto/serviço</w:t>
            </w:r>
          </w:p>
        </w:tc>
        <w:tc>
          <w:tcPr>
            <w:tcW w:w="3118"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Descrição do produto/serviço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Marca do produto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Unidade de medida</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Preço total</w:t>
            </w:r>
          </w:p>
        </w:tc>
      </w:tr>
      <w:tr w:rsidR="0082074C" w:rsidRPr="0046784B" w:rsidTr="0082074C">
        <w:tc>
          <w:tcPr>
            <w:tcW w:w="697"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3</w:t>
            </w:r>
          </w:p>
        </w:tc>
        <w:tc>
          <w:tcPr>
            <w:tcW w:w="733"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24030</w:t>
            </w:r>
          </w:p>
        </w:tc>
        <w:tc>
          <w:tcPr>
            <w:tcW w:w="3118"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 xml:space="preserve">APARELHO DE LASER DMC THERAPY EC </w:t>
            </w:r>
          </w:p>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p>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 xml:space="preserve">Equipamento utilizado para reabilitação </w:t>
            </w:r>
            <w:proofErr w:type="spellStart"/>
            <w:r w:rsidRPr="0046784B">
              <w:rPr>
                <w:rFonts w:ascii="Bookman Old Style" w:eastAsiaTheme="minorHAnsi" w:hAnsi="Bookman Old Style"/>
                <w:sz w:val="16"/>
                <w:szCs w:val="16"/>
                <w:lang w:val="x-none" w:eastAsia="en-US"/>
              </w:rPr>
              <w:t>fonoaudiológica</w:t>
            </w:r>
            <w:proofErr w:type="spellEnd"/>
            <w:r w:rsidRPr="0046784B">
              <w:rPr>
                <w:rFonts w:ascii="Bookman Old Style" w:eastAsiaTheme="minorHAnsi" w:hAnsi="Bookman Old Style"/>
                <w:sz w:val="16"/>
                <w:szCs w:val="16"/>
                <w:lang w:val="x-none" w:eastAsia="en-US"/>
              </w:rPr>
              <w:t xml:space="preserve"> em voz, disfagia, motricidade orofacial e </w:t>
            </w:r>
            <w:proofErr w:type="spellStart"/>
            <w:r w:rsidRPr="0046784B">
              <w:rPr>
                <w:rFonts w:ascii="Bookman Old Style" w:eastAsiaTheme="minorHAnsi" w:hAnsi="Bookman Old Style"/>
                <w:sz w:val="16"/>
                <w:szCs w:val="16"/>
                <w:lang w:val="x-none" w:eastAsia="en-US"/>
              </w:rPr>
              <w:t>anosmia</w:t>
            </w:r>
            <w:proofErr w:type="spellEnd"/>
            <w:r w:rsidRPr="0046784B">
              <w:rPr>
                <w:rFonts w:ascii="Bookman Old Style" w:eastAsiaTheme="minorHAnsi" w:hAnsi="Bookman Old Style"/>
                <w:sz w:val="16"/>
                <w:szCs w:val="16"/>
                <w:lang w:val="x-none" w:eastAsia="en-US"/>
              </w:rPr>
              <w:t xml:space="preserve">. Dimensões aproximadas: Peso da peça de mão: 0,18 Kg. Peso do suporte da peça de mão: 0,12 Kg. Dimensão da peça de mão: 21 cm (altura) x 3 cm (largura) x 5 cm (profundidade). Dimensão do suporte da peça de mão: 11cm (altura) x 6 (largura) x 19 cm (profundidade). Diâmetro da fibra: 600 um. Bateria: Li-íon. Comprimento de onda laser vermelho: 660 </w:t>
            </w:r>
            <w:proofErr w:type="spellStart"/>
            <w:r w:rsidRPr="0046784B">
              <w:rPr>
                <w:rFonts w:ascii="Bookman Old Style" w:eastAsiaTheme="minorHAnsi" w:hAnsi="Bookman Old Style"/>
                <w:sz w:val="16"/>
                <w:szCs w:val="16"/>
                <w:lang w:val="x-none" w:eastAsia="en-US"/>
              </w:rPr>
              <w:t>nm</w:t>
            </w:r>
            <w:proofErr w:type="spellEnd"/>
            <w:r w:rsidRPr="0046784B">
              <w:rPr>
                <w:rFonts w:ascii="Bookman Old Style" w:eastAsiaTheme="minorHAnsi" w:hAnsi="Bookman Old Style"/>
                <w:sz w:val="16"/>
                <w:szCs w:val="16"/>
                <w:lang w:val="x-none" w:eastAsia="en-US"/>
              </w:rPr>
              <w:t xml:space="preserve"> ± 10 </w:t>
            </w:r>
            <w:proofErr w:type="spellStart"/>
            <w:r w:rsidRPr="0046784B">
              <w:rPr>
                <w:rFonts w:ascii="Bookman Old Style" w:eastAsiaTheme="minorHAnsi" w:hAnsi="Bookman Old Style"/>
                <w:sz w:val="16"/>
                <w:szCs w:val="16"/>
                <w:lang w:val="x-none" w:eastAsia="en-US"/>
              </w:rPr>
              <w:t>nm</w:t>
            </w:r>
            <w:proofErr w:type="spellEnd"/>
            <w:r w:rsidRPr="0046784B">
              <w:rPr>
                <w:rFonts w:ascii="Bookman Old Style" w:eastAsiaTheme="minorHAnsi" w:hAnsi="Bookman Old Style"/>
                <w:sz w:val="16"/>
                <w:szCs w:val="16"/>
                <w:lang w:val="x-none" w:eastAsia="en-US"/>
              </w:rPr>
              <w:t xml:space="preserve">. Potência útil emissor laser vermelho: 100 mW ± 20 %. Comprimento de onda laser infravermelho: 808nm ± 10 </w:t>
            </w:r>
            <w:proofErr w:type="spellStart"/>
            <w:r w:rsidRPr="0046784B">
              <w:rPr>
                <w:rFonts w:ascii="Bookman Old Style" w:eastAsiaTheme="minorHAnsi" w:hAnsi="Bookman Old Style"/>
                <w:sz w:val="16"/>
                <w:szCs w:val="16"/>
                <w:lang w:val="x-none" w:eastAsia="en-US"/>
              </w:rPr>
              <w:t>nm</w:t>
            </w:r>
            <w:proofErr w:type="spellEnd"/>
            <w:r w:rsidRPr="0046784B">
              <w:rPr>
                <w:rFonts w:ascii="Bookman Old Style" w:eastAsiaTheme="minorHAnsi" w:hAnsi="Bookman Old Style"/>
                <w:sz w:val="16"/>
                <w:szCs w:val="16"/>
                <w:lang w:val="x-none" w:eastAsia="en-US"/>
              </w:rPr>
              <w:t xml:space="preserve">. Potência útil emissor laser infravermelho: 100 mW ± 20 %. Itens que acompanham o produto: 01 peça de mão. 01 suporte da peça de mão. 01 fonte de alimentação. 03 espaçadores. 01 óculos de proteção profissional. 01 óculos de proteção paciente. 01 case de transporte. 03 pulseiras ILIB </w:t>
            </w:r>
          </w:p>
        </w:tc>
        <w:tc>
          <w:tcPr>
            <w:tcW w:w="851"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MM OPTICKS</w:t>
            </w:r>
          </w:p>
        </w:tc>
        <w:tc>
          <w:tcPr>
            <w:tcW w:w="708"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UN</w:t>
            </w:r>
          </w:p>
        </w:tc>
        <w:tc>
          <w:tcPr>
            <w:tcW w:w="993"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1,00</w:t>
            </w:r>
          </w:p>
        </w:tc>
        <w:tc>
          <w:tcPr>
            <w:tcW w:w="992"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4.031,16</w:t>
            </w:r>
          </w:p>
        </w:tc>
        <w:tc>
          <w:tcPr>
            <w:tcW w:w="941"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4.031,16</w:t>
            </w:r>
          </w:p>
        </w:tc>
      </w:tr>
      <w:tr w:rsidR="0082074C" w:rsidRPr="0046784B" w:rsidTr="0082074C">
        <w:tc>
          <w:tcPr>
            <w:tcW w:w="697"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lastRenderedPageBreak/>
              <w:t>LOTE: 001 - Lote 001</w:t>
            </w:r>
          </w:p>
        </w:tc>
        <w:tc>
          <w:tcPr>
            <w:tcW w:w="697"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44</w:t>
            </w:r>
          </w:p>
        </w:tc>
        <w:tc>
          <w:tcPr>
            <w:tcW w:w="733"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24071</w:t>
            </w:r>
          </w:p>
        </w:tc>
        <w:tc>
          <w:tcPr>
            <w:tcW w:w="3118"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 xml:space="preserve">ULTRA-SOM 1 E 3 MHZ Equipamento utilizado para auxílio no tratamento de diferentes tipos de afecções: traumáticas, reumáticas, inflamatórias que afetam o sistema nervoso periférico, alterações degenerativas do esqueleto, etc. </w:t>
            </w:r>
            <w:proofErr w:type="spellStart"/>
            <w:r w:rsidRPr="0046784B">
              <w:rPr>
                <w:rFonts w:ascii="Bookman Old Style" w:eastAsiaTheme="minorHAnsi" w:hAnsi="Bookman Old Style"/>
                <w:sz w:val="16"/>
                <w:szCs w:val="16"/>
                <w:lang w:val="x-none" w:eastAsia="en-US"/>
              </w:rPr>
              <w:t>Freqüências</w:t>
            </w:r>
            <w:proofErr w:type="spellEnd"/>
            <w:r w:rsidRPr="0046784B">
              <w:rPr>
                <w:rFonts w:ascii="Bookman Old Style" w:eastAsiaTheme="minorHAnsi" w:hAnsi="Bookman Old Style"/>
                <w:sz w:val="16"/>
                <w:szCs w:val="16"/>
                <w:lang w:val="x-none" w:eastAsia="en-US"/>
              </w:rPr>
              <w:t xml:space="preserve"> de 1MHz ou 3MHz; Protocolos </w:t>
            </w:r>
            <w:proofErr w:type="spellStart"/>
            <w:r w:rsidRPr="0046784B">
              <w:rPr>
                <w:rFonts w:ascii="Bookman Old Style" w:eastAsiaTheme="minorHAnsi" w:hAnsi="Bookman Old Style"/>
                <w:sz w:val="16"/>
                <w:szCs w:val="16"/>
                <w:lang w:val="x-none" w:eastAsia="en-US"/>
              </w:rPr>
              <w:t>pré</w:t>
            </w:r>
            <w:proofErr w:type="spellEnd"/>
            <w:r w:rsidRPr="0046784B">
              <w:rPr>
                <w:rFonts w:ascii="Bookman Old Style" w:eastAsiaTheme="minorHAnsi" w:hAnsi="Bookman Old Style"/>
                <w:sz w:val="16"/>
                <w:szCs w:val="16"/>
                <w:lang w:val="x-none" w:eastAsia="en-US"/>
              </w:rPr>
              <w:t xml:space="preserve"> definidos de tratamento; Tecnologia de operação micro controlada; Tela em LCD; Cabeçote com dupla face de alumínio; Modo de emissão onda pulsada e contínua; Repetição de Pulso com 100Hz, 48Hz e modulação em 20 ou 50 de tempo ON. Repetição de pulso com 100Hz, 48 Hz e 16 Hz e modulação de 10,20,50 de tempo ON; intensidade regulada e mesurada em W/cm² visualizadas através do painel digital; Timer; Saída para terapia combina; Bivolt.</w:t>
            </w:r>
          </w:p>
        </w:tc>
        <w:tc>
          <w:tcPr>
            <w:tcW w:w="851"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IBRAMED</w:t>
            </w:r>
          </w:p>
        </w:tc>
        <w:tc>
          <w:tcPr>
            <w:tcW w:w="708"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UN</w:t>
            </w:r>
          </w:p>
        </w:tc>
        <w:tc>
          <w:tcPr>
            <w:tcW w:w="993"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2,00</w:t>
            </w:r>
          </w:p>
        </w:tc>
        <w:tc>
          <w:tcPr>
            <w:tcW w:w="992"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1.380,00</w:t>
            </w:r>
          </w:p>
        </w:tc>
        <w:tc>
          <w:tcPr>
            <w:tcW w:w="941"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sz w:val="16"/>
                <w:szCs w:val="16"/>
                <w:lang w:val="x-none" w:eastAsia="en-US"/>
              </w:rPr>
            </w:pPr>
            <w:r w:rsidRPr="0046784B">
              <w:rPr>
                <w:rFonts w:ascii="Bookman Old Style" w:eastAsiaTheme="minorHAnsi" w:hAnsi="Bookman Old Style"/>
                <w:sz w:val="16"/>
                <w:szCs w:val="16"/>
                <w:lang w:val="x-none" w:eastAsia="en-US"/>
              </w:rPr>
              <w:t>2.760,00</w:t>
            </w:r>
          </w:p>
        </w:tc>
      </w:tr>
      <w:tr w:rsidR="0046784B" w:rsidRPr="0046784B" w:rsidTr="0082074C">
        <w:tc>
          <w:tcPr>
            <w:tcW w:w="8789" w:type="dxa"/>
            <w:gridSpan w:val="8"/>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b/>
                <w:sz w:val="16"/>
                <w:szCs w:val="16"/>
                <w:lang w:val="x-none" w:eastAsia="en-US"/>
              </w:rPr>
            </w:pPr>
            <w:r w:rsidRPr="0046784B">
              <w:rPr>
                <w:rFonts w:ascii="Bookman Old Style" w:eastAsiaTheme="minorHAnsi" w:hAnsi="Bookman Old Style"/>
                <w:b/>
                <w:sz w:val="16"/>
                <w:szCs w:val="16"/>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46784B" w:rsidRPr="0046784B" w:rsidRDefault="0046784B" w:rsidP="0046784B">
            <w:pPr>
              <w:widowControl/>
              <w:autoSpaceDE w:val="0"/>
              <w:autoSpaceDN w:val="0"/>
              <w:adjustRightInd w:val="0"/>
              <w:rPr>
                <w:rFonts w:ascii="Bookman Old Style" w:eastAsiaTheme="minorHAnsi" w:hAnsi="Bookman Old Style"/>
                <w:b/>
                <w:sz w:val="16"/>
                <w:szCs w:val="16"/>
                <w:lang w:val="x-none" w:eastAsia="en-US"/>
              </w:rPr>
            </w:pPr>
            <w:r w:rsidRPr="0046784B">
              <w:rPr>
                <w:rFonts w:ascii="Bookman Old Style" w:eastAsiaTheme="minorHAnsi" w:hAnsi="Bookman Old Style"/>
                <w:b/>
                <w:sz w:val="16"/>
                <w:szCs w:val="16"/>
                <w:lang w:val="x-none" w:eastAsia="en-US"/>
              </w:rPr>
              <w:t>6.791,16</w:t>
            </w:r>
          </w:p>
        </w:tc>
      </w:tr>
    </w:tbl>
    <w:p w:rsidR="0046784B" w:rsidRPr="00412E43" w:rsidRDefault="0046784B" w:rsidP="0046784B">
      <w:pPr>
        <w:jc w:val="both"/>
        <w:rPr>
          <w:rFonts w:ascii="Bookman Old Style" w:hAnsi="Bookman Old Style"/>
        </w:rPr>
      </w:pPr>
    </w:p>
    <w:p w:rsidR="0046784B" w:rsidRPr="00412E43" w:rsidRDefault="0046784B" w:rsidP="0046784B">
      <w:pPr>
        <w:pStyle w:val="PargrafodaLista"/>
        <w:numPr>
          <w:ilvl w:val="1"/>
          <w:numId w:val="7"/>
        </w:numPr>
        <w:rPr>
          <w:rFonts w:ascii="Bookman Old Style" w:hAnsi="Bookman Old Style"/>
          <w:sz w:val="20"/>
          <w:szCs w:val="20"/>
        </w:rPr>
      </w:pPr>
      <w:r w:rsidRPr="00412E43">
        <w:rPr>
          <w:rFonts w:ascii="Bookman Old Style" w:eastAsia="Bookman Old Style" w:hAnsi="Bookman Old Style" w:cs="Bookman Old Style"/>
          <w:sz w:val="20"/>
          <w:szCs w:val="20"/>
        </w:rPr>
        <w:t>São anexos a este instrumento e vinculam está contratação, independentemente de transcrição:</w:t>
      </w:r>
    </w:p>
    <w:p w:rsidR="0046784B" w:rsidRPr="00412E43" w:rsidRDefault="0046784B" w:rsidP="0046784B">
      <w:pPr>
        <w:numPr>
          <w:ilvl w:val="2"/>
          <w:numId w:val="8"/>
        </w:numPr>
        <w:jc w:val="both"/>
        <w:rPr>
          <w:rFonts w:ascii="Bookman Old Style" w:hAnsi="Bookman Old Style"/>
        </w:rPr>
      </w:pPr>
      <w:r w:rsidRPr="00412E43">
        <w:rPr>
          <w:rFonts w:ascii="Bookman Old Style" w:eastAsia="Bookman Old Style" w:hAnsi="Bookman Old Style" w:cs="Bookman Old Style"/>
        </w:rPr>
        <w:t>O Termo de Referência que embasou a contratação;</w:t>
      </w:r>
    </w:p>
    <w:p w:rsidR="0046784B" w:rsidRPr="00412E43" w:rsidRDefault="0046784B" w:rsidP="0046784B">
      <w:pPr>
        <w:numPr>
          <w:ilvl w:val="2"/>
          <w:numId w:val="5"/>
        </w:numPr>
        <w:jc w:val="both"/>
        <w:rPr>
          <w:rFonts w:ascii="Bookman Old Style" w:hAnsi="Bookman Old Style"/>
        </w:rPr>
      </w:pPr>
      <w:r w:rsidRPr="00412E43">
        <w:rPr>
          <w:rFonts w:ascii="Bookman Old Style" w:eastAsia="Bookman Old Style" w:hAnsi="Bookman Old Style" w:cs="Bookman Old Style"/>
        </w:rPr>
        <w:t>O Edital de Licitação, a Autorização de Contratação Direta;</w:t>
      </w:r>
    </w:p>
    <w:p w:rsidR="0046784B" w:rsidRPr="00412E43" w:rsidRDefault="0046784B" w:rsidP="0046784B">
      <w:pPr>
        <w:numPr>
          <w:ilvl w:val="2"/>
          <w:numId w:val="5"/>
        </w:numPr>
        <w:jc w:val="both"/>
        <w:rPr>
          <w:rFonts w:ascii="Bookman Old Style" w:hAnsi="Bookman Old Style"/>
        </w:rPr>
      </w:pPr>
      <w:r w:rsidRPr="00412E43">
        <w:rPr>
          <w:rFonts w:ascii="Bookman Old Style" w:eastAsia="Bookman Old Style" w:hAnsi="Bookman Old Style" w:cs="Bookman Old Style"/>
        </w:rPr>
        <w:t>A Proposta do Contratado;</w:t>
      </w:r>
    </w:p>
    <w:p w:rsidR="0046784B" w:rsidRPr="009701C8" w:rsidRDefault="0046784B" w:rsidP="0046784B">
      <w:pPr>
        <w:numPr>
          <w:ilvl w:val="2"/>
          <w:numId w:val="5"/>
        </w:numPr>
        <w:jc w:val="both"/>
        <w:rPr>
          <w:rFonts w:ascii="Bookman Old Style" w:hAnsi="Bookman Old Style"/>
        </w:rPr>
      </w:pPr>
      <w:r w:rsidRPr="00412E43">
        <w:rPr>
          <w:rFonts w:ascii="Bookman Old Style" w:eastAsia="Bookman Old Style" w:hAnsi="Bookman Old Style" w:cs="Bookman Old Style"/>
        </w:rPr>
        <w:t>Eventuais anexos dos documentos supracitados.</w:t>
      </w:r>
    </w:p>
    <w:p w:rsidR="0046784B" w:rsidRPr="00412E43" w:rsidRDefault="0046784B" w:rsidP="0046784B">
      <w:pPr>
        <w:jc w:val="both"/>
        <w:rPr>
          <w:rFonts w:ascii="Bookman Old Style" w:hAnsi="Bookman Old Style"/>
        </w:rPr>
      </w:pPr>
    </w:p>
    <w:p w:rsidR="0046784B" w:rsidRPr="00412E43" w:rsidRDefault="0046784B" w:rsidP="0046784B">
      <w:pPr>
        <w:numPr>
          <w:ilvl w:val="0"/>
          <w:numId w:val="5"/>
        </w:numPr>
        <w:tabs>
          <w:tab w:val="left" w:pos="570"/>
        </w:tabs>
        <w:jc w:val="both"/>
        <w:outlineLvl w:val="0"/>
        <w:rPr>
          <w:rFonts w:ascii="Bookman Old Style" w:hAnsi="Bookman Old Style"/>
        </w:rPr>
      </w:pPr>
      <w:r w:rsidRPr="00412E43">
        <w:rPr>
          <w:rFonts w:ascii="Bookman Old Style" w:eastAsia="Bookman Old Style" w:hAnsi="Bookman Old Style" w:cs="Bookman Old Style"/>
          <w:b/>
          <w:color w:val="000000"/>
        </w:rPr>
        <w:t>CLÁUSULA SEGUNDA – VIGÊNCIA E PRORROGAÇÃO.</w:t>
      </w:r>
    </w:p>
    <w:p w:rsidR="0046784B" w:rsidRPr="009701C8" w:rsidRDefault="0046784B" w:rsidP="0046784B">
      <w:pPr>
        <w:numPr>
          <w:ilvl w:val="1"/>
          <w:numId w:val="9"/>
        </w:numPr>
        <w:jc w:val="both"/>
        <w:rPr>
          <w:rFonts w:ascii="Bookman Old Style" w:hAnsi="Bookman Old Style"/>
        </w:rPr>
      </w:pPr>
      <w:r w:rsidRPr="00412E43">
        <w:rPr>
          <w:rFonts w:ascii="Bookman Old Style" w:eastAsia="Bookman Old Style" w:hAnsi="Bookman Old Style" w:cs="Bookman Old Style"/>
        </w:rPr>
        <w:t>O prazo de vigência da contratação é de 12</w:t>
      </w:r>
      <w:r>
        <w:rPr>
          <w:rFonts w:ascii="Bookman Old Style" w:eastAsia="Bookman Old Style" w:hAnsi="Bookman Old Style" w:cs="Bookman Old Style"/>
        </w:rPr>
        <w:t xml:space="preserve"> </w:t>
      </w:r>
      <w:r w:rsidRPr="00412E43">
        <w:rPr>
          <w:rFonts w:ascii="Bookman Old Style" w:eastAsia="Bookman Old Style" w:hAnsi="Bookman Old Style" w:cs="Bookman Old Style"/>
        </w:rPr>
        <w:t>(Doze</w:t>
      </w:r>
      <w:r>
        <w:rPr>
          <w:rFonts w:ascii="Bookman Old Style" w:eastAsia="Bookman Old Style" w:hAnsi="Bookman Old Style" w:cs="Bookman Old Style"/>
        </w:rPr>
        <w:t>) meses contados d</w:t>
      </w:r>
      <w:r w:rsidRPr="00412E43">
        <w:rPr>
          <w:rFonts w:ascii="Bookman Old Style" w:eastAsia="Bookman Old Style" w:hAnsi="Bookman Old Style" w:cs="Bookman Old Style"/>
        </w:rPr>
        <w:t>a assinatura do contrato, na forma dos artigos 106 e 107 da Lei n° 14.133/2021.</w:t>
      </w:r>
    </w:p>
    <w:p w:rsidR="0046784B" w:rsidRPr="00412E43" w:rsidRDefault="0046784B" w:rsidP="0046784B">
      <w:pPr>
        <w:jc w:val="both"/>
        <w:rPr>
          <w:rFonts w:ascii="Bookman Old Style" w:hAnsi="Bookman Old Style"/>
        </w:rPr>
      </w:pPr>
    </w:p>
    <w:p w:rsidR="0046784B" w:rsidRPr="00412E43" w:rsidRDefault="0046784B" w:rsidP="0046784B">
      <w:pPr>
        <w:numPr>
          <w:ilvl w:val="0"/>
          <w:numId w:val="5"/>
        </w:numPr>
        <w:tabs>
          <w:tab w:val="left" w:pos="570"/>
        </w:tabs>
        <w:jc w:val="both"/>
        <w:outlineLvl w:val="0"/>
        <w:rPr>
          <w:rFonts w:ascii="Bookman Old Style" w:hAnsi="Bookman Old Style"/>
        </w:rPr>
      </w:pPr>
      <w:r w:rsidRPr="00412E43">
        <w:rPr>
          <w:rFonts w:ascii="Bookman Old Style" w:eastAsia="Bookman Old Style" w:hAnsi="Bookman Old Style" w:cs="Bookman Old Style"/>
          <w:b/>
          <w:color w:val="000000"/>
        </w:rPr>
        <w:t>CLÁUSULA TERCEIRA – MODELOS DE EXECUÇÃO E GESTÃO CONTRATUAIS (art. 92, IV, VII e XVIII)</w:t>
      </w:r>
    </w:p>
    <w:p w:rsidR="0046784B" w:rsidRPr="00412E43" w:rsidRDefault="0046784B" w:rsidP="0046784B">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contrato deverá ser executado fielmente pelas partes, de acordo com as cláusulas avençadas e as normas da Lei nº 14.133, de 2021, e cada parte responderá pelas consequências de sua inexecução total ou parcial</w:t>
      </w:r>
    </w:p>
    <w:p w:rsidR="0046784B" w:rsidRPr="00412E43" w:rsidRDefault="0046784B" w:rsidP="0046784B">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As comunicações entre o órgão ou entidade e a contratada devem ser realizadas por escrito sempre que o ato exigir tal formalidade, admitindo-se o uso de mensagem eletrônica para esse fim.</w:t>
      </w:r>
    </w:p>
    <w:p w:rsidR="0046784B" w:rsidRPr="00412E43" w:rsidRDefault="0046784B" w:rsidP="0046784B">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A execução do contrato deverá ser acompanhada e fiscalizada pelo(s) fiscal(is) do contrato, ou pelos respectivos substitutos (Lei nº 14.133, de 2021, art. 117, caput).</w:t>
      </w:r>
    </w:p>
    <w:p w:rsidR="0046784B" w:rsidRPr="00412E43" w:rsidRDefault="0046784B" w:rsidP="0046784B">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Fiscais do contrato: DANIELA TREMEA FAQUINELO e RAQUEL VETTORELLO SERAFINI</w:t>
      </w:r>
    </w:p>
    <w:p w:rsidR="0046784B" w:rsidRPr="00412E43" w:rsidRDefault="0046784B" w:rsidP="0046784B">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acompanhará a execução do contrato, para que sejam cumpridas todas as condições estabelecidas no contrato, de modo a assegurar os melhores resultados para a Administração. (Decreto nº 11.246, de 2022, art. 22, VI);</w:t>
      </w:r>
    </w:p>
    <w:p w:rsidR="0046784B" w:rsidRPr="00412E43" w:rsidRDefault="0046784B" w:rsidP="0046784B">
      <w:pPr>
        <w:pStyle w:val="PargrafodaLista"/>
        <w:numPr>
          <w:ilvl w:val="1"/>
          <w:numId w:val="5"/>
        </w:numPr>
        <w:tabs>
          <w:tab w:val="left" w:pos="570"/>
        </w:tabs>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Decreto nº 11.246, de 2022, art. 22, II);</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 xml:space="preserve">Identificada qualquer inexatidão ou irregularidade, o fiscal técnico do contrato emitirá notificações para a correção da execução do contrato, determinando prazo para a correção. (Decreto nº 11.246, de 2022, art. 22, III); </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informará ao gestor do contrato, em tempo hábil, a situação que demandar decisão ou adoção de medidas que ultrapassem sua competência, para que adote as medidas necessárias e saneadoras, se for o caso. (Decreto nº 11.246, de 2022, art. 22, IV).</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 xml:space="preserve">No caso de ocorrências que possam inviabilizar a execução do contrato nas datas aprazadas, </w:t>
      </w:r>
      <w:r w:rsidRPr="00412E43">
        <w:rPr>
          <w:rFonts w:ascii="Bookman Old Style" w:eastAsia="Bookman Old Style" w:hAnsi="Bookman Old Style" w:cs="Bookman Old Style"/>
          <w:sz w:val="20"/>
          <w:szCs w:val="20"/>
        </w:rPr>
        <w:lastRenderedPageBreak/>
        <w:t>o fiscal técnico do contrato comunicará o fato imediatamente ao gestor do contrato. (Decreto nº 11.246, de 2022, art. 22, V).</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técnico do contrato deverá comunicar ao gestor do contrato, em tempo hábil, o término do contrato sob sua responsabilidade, com vistas à renovação tempestiva ou à prorrogação contratual (Decreto nº 11.246, de 2022, art. 22, VII).</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(Art. 23, I e II, do Decreto nº 11.246, de 2022).</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Caso ocorra descumprimento das obrigações contratuais, o fiscal administrativo do contrato atuará tempestivamente na solução do problema, reportando ao gestor do contrato para que tome as providências cabíveis, quando ultrapassar a sua competência; (Decreto nº 11.246, de 2022, art. 23, IV).</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fiscal administrativo do contrato comunicará ao gestor do contrato, em tempo hábil, o término do contrato sob sua responsabilidade, com vistas à tempestiva renovação ou prorrogação contratual. (Decreto nº 11.246, de 2022, art. 22, VII).</w:t>
      </w:r>
    </w:p>
    <w:p w:rsidR="0046784B" w:rsidRPr="00412E43" w:rsidRDefault="0046784B" w:rsidP="0046784B">
      <w:pPr>
        <w:pStyle w:val="PargrafodaLista"/>
        <w:numPr>
          <w:ilvl w:val="1"/>
          <w:numId w:val="5"/>
        </w:numPr>
        <w:tabs>
          <w:tab w:val="left" w:pos="570"/>
        </w:tabs>
        <w:spacing w:before="240"/>
        <w:outlineLvl w:val="0"/>
        <w:rPr>
          <w:rFonts w:ascii="Bookman Old Style" w:eastAsia="Bookman Old Style" w:hAnsi="Bookman Old Style" w:cs="Bookman Old Style"/>
          <w:sz w:val="20"/>
          <w:szCs w:val="20"/>
        </w:rPr>
      </w:pPr>
      <w:r w:rsidRPr="00412E43">
        <w:rPr>
          <w:rFonts w:ascii="Bookman Old Style" w:eastAsia="Bookman Old Style" w:hAnsi="Bookman Old Style" w:cs="Bookman Old Style"/>
          <w:sz w:val="20"/>
          <w:szCs w:val="20"/>
        </w:rPr>
        <w:t>O gestor do contrato deverá elaborará relatório final com informações sobre a consecução dos objetivos que tenham justificado a contratação e eventuais condutas a serem adotadas para o aprimoramento das atividades da Administração. (Decreto nº 11.246, de 2022, art. 21, VI).</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 xml:space="preserve">CLÁUSULA QUARTA - SUBCONTRATAÇÃO </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Não será admitida a subcontratação do objeto contratual.</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QUINTA - PAGAMENTO (art. 92, V e VI)</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lastRenderedPageBreak/>
        <w:t>PREÇO</w:t>
      </w:r>
    </w:p>
    <w:p w:rsidR="0046784B" w:rsidRPr="00412E43" w:rsidRDefault="0046784B" w:rsidP="0046784B">
      <w:pPr>
        <w:numPr>
          <w:ilvl w:val="2"/>
          <w:numId w:val="10"/>
        </w:numPr>
        <w:spacing w:before="120" w:after="120"/>
        <w:jc w:val="both"/>
        <w:rPr>
          <w:rFonts w:ascii="Bookman Old Style" w:hAnsi="Bookman Old Style"/>
        </w:rPr>
      </w:pPr>
      <w:r w:rsidRPr="00412E43">
        <w:rPr>
          <w:rFonts w:ascii="Bookman Old Style" w:eastAsia="Bookman Old Style" w:hAnsi="Bookman Old Style" w:cs="Bookman Old Style"/>
        </w:rPr>
        <w:t xml:space="preserve">O valor total da contratação é de </w:t>
      </w:r>
      <w:r w:rsidRPr="009701C8">
        <w:rPr>
          <w:rFonts w:ascii="Bookman Old Style" w:eastAsia="Bookman Old Style" w:hAnsi="Bookman Old Style" w:cs="Bookman Old Style"/>
          <w:b/>
        </w:rPr>
        <w:t xml:space="preserve">R$ </w:t>
      </w:r>
      <w:r w:rsidR="0082074C" w:rsidRPr="0082074C">
        <w:rPr>
          <w:rFonts w:ascii="Bookman Old Style" w:eastAsia="Bookman Old Style" w:hAnsi="Bookman Old Style" w:cs="Bookman Old Style"/>
          <w:b/>
          <w:bCs/>
          <w:lang w:val="x-none"/>
        </w:rPr>
        <w:t>6.791,16</w:t>
      </w:r>
      <w:r w:rsidR="0082074C">
        <w:rPr>
          <w:rFonts w:ascii="Bookman Old Style" w:eastAsia="Bookman Old Style" w:hAnsi="Bookman Old Style" w:cs="Bookman Old Style"/>
          <w:b/>
          <w:bCs/>
        </w:rPr>
        <w:t xml:space="preserve"> </w:t>
      </w:r>
      <w:r w:rsidR="0082074C" w:rsidRPr="0082074C">
        <w:rPr>
          <w:rFonts w:ascii="Bookman Old Style" w:eastAsia="Bookman Old Style" w:hAnsi="Bookman Old Style" w:cs="Bookman Old Style"/>
          <w:b/>
          <w:bCs/>
          <w:lang w:val="x-none"/>
        </w:rPr>
        <w:t>(Seis Mil, Setecentos e Noventa e Um Reais e Dezesseis Centavos</w:t>
      </w:r>
      <w:r w:rsidRPr="00AD029F">
        <w:rPr>
          <w:rFonts w:ascii="Bookman Old Style" w:eastAsia="Bookman Old Style" w:hAnsi="Bookman Old Style" w:cs="Bookman Old Style"/>
          <w:b/>
          <w:bCs/>
          <w:lang w:val="x-none"/>
        </w:rPr>
        <w:t>)</w:t>
      </w:r>
      <w:r>
        <w:rPr>
          <w:rFonts w:ascii="Bookman Old Style" w:eastAsia="Bookman Old Style" w:hAnsi="Bookman Old Style" w:cs="Bookman Old Style"/>
          <w:b/>
          <w:bCs/>
        </w:rPr>
        <w:t>.</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O valor acima é meramente estimativo, de forma que os pagamentos devidos ao contratado dependerão dos quantitativos efetivamente fornecidos.</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FORMA DE PAGAMENTO</w:t>
      </w:r>
    </w:p>
    <w:p w:rsidR="0046784B" w:rsidRPr="00412E43" w:rsidRDefault="0046784B" w:rsidP="0046784B">
      <w:pPr>
        <w:numPr>
          <w:ilvl w:val="2"/>
          <w:numId w:val="11"/>
        </w:numPr>
        <w:spacing w:before="120" w:after="120"/>
        <w:jc w:val="both"/>
        <w:rPr>
          <w:rFonts w:ascii="Bookman Old Style" w:hAnsi="Bookman Old Style"/>
        </w:rPr>
      </w:pPr>
      <w:r w:rsidRPr="00412E43">
        <w:rPr>
          <w:rFonts w:ascii="Bookman Old Style" w:eastAsia="Bookman Old Style" w:hAnsi="Bookman Old Style" w:cs="Bookman Old Style"/>
        </w:rPr>
        <w:t>O pagamento será realizado através de ordem bancária, para crédito em banco, agência e conta corrente indicados pelo contratado.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Será considerada data do pagamento o dia em que constar como emitida a ordem bancária para pagamento.</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PRAZO DE PAGAMENTO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O pagamento será efetuado no prazo máximo de até 30 (trinta) dias, contados </w:t>
      </w:r>
      <w:r w:rsidRPr="00412E43">
        <w:rPr>
          <w:rFonts w:ascii="Bookman Old Style" w:eastAsia="Bookman Old Style" w:hAnsi="Bookman Old Style" w:cs="Bookman Old Style"/>
          <w:color w:val="000000"/>
        </w:rPr>
        <w:t>do recebimento da Nota Fiscal/Fatura.</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Considera-se ocorrido o recebimento da nota fiscal ou fatura quando o órgão contratante atestar a execução do objeto do contrato.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No caso de atraso pelo Contratante, os valores devidos ao contratado serão atualizados monetariamente entre o termo final do prazo de pagamento até a data de sua efetiva realização, mediante aplicação do índice</w:t>
      </w:r>
      <w:r w:rsidRPr="00412E43">
        <w:rPr>
          <w:rFonts w:ascii="Bookman Old Style" w:eastAsia="Bookman Old Style" w:hAnsi="Bookman Old Style" w:cs="Bookman Old Style"/>
          <w:shd w:val="clear" w:color="auto" w:fill="FFFFFF"/>
        </w:rPr>
        <w:t> de Preços ao Consumidor Aplicado (IPCA)</w:t>
      </w:r>
      <w:r w:rsidRPr="00412E43">
        <w:rPr>
          <w:rFonts w:ascii="Bookman Old Style" w:eastAsia="Bookman Old Style" w:hAnsi="Bookman Old Style" w:cs="Bookman Old Style"/>
        </w:rPr>
        <w:t xml:space="preserve"> de correção monetária.</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b/>
        </w:rPr>
        <w:t>CONDIÇÕES DE PAGAMENTO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A emissão da </w:t>
      </w:r>
      <w:r w:rsidRPr="00412E43">
        <w:rPr>
          <w:rFonts w:ascii="Bookman Old Style" w:eastAsia="Bookman Old Style" w:hAnsi="Bookman Old Style" w:cs="Bookman Old Style"/>
          <w:color w:val="000000"/>
        </w:rPr>
        <w:t>Nota Fiscal/Fatura será precedida do recebimento definitivo do objeto da contratação, conforme disposto neste instrumento e/ou no Termo de Referência.</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 Quando houver glosa parcial do objeto, o contratante deverá comunicar a empresa para que emita a nota fiscal ou fatura com o valor exato dimensionado.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O setor competente para proceder o pagamento deve verificar se a Nota Fiscal ou Fatura apresentada expressa os elementos necessários e essenciais do documento, tais como: </w:t>
      </w:r>
    </w:p>
    <w:p w:rsidR="0046784B" w:rsidRPr="00412E43" w:rsidRDefault="0046784B" w:rsidP="0046784B">
      <w:pPr>
        <w:numPr>
          <w:ilvl w:val="0"/>
          <w:numId w:val="4"/>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w:t>
      </w:r>
      <w:proofErr w:type="gramEnd"/>
      <w:r w:rsidRPr="00412E43">
        <w:rPr>
          <w:rFonts w:ascii="Bookman Old Style" w:eastAsia="Bookman Old Style" w:hAnsi="Bookman Old Style" w:cs="Bookman Old Style"/>
          <w:color w:val="000000"/>
        </w:rPr>
        <w:t xml:space="preserve"> prazo de validade; </w:t>
      </w:r>
    </w:p>
    <w:p w:rsidR="0046784B" w:rsidRPr="00412E43" w:rsidRDefault="0046784B" w:rsidP="0046784B">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a</w:t>
      </w:r>
      <w:proofErr w:type="gramEnd"/>
      <w:r w:rsidRPr="00412E43">
        <w:rPr>
          <w:rFonts w:ascii="Bookman Old Style" w:eastAsia="Bookman Old Style" w:hAnsi="Bookman Old Style" w:cs="Bookman Old Style"/>
          <w:color w:val="000000"/>
        </w:rPr>
        <w:t xml:space="preserve"> data da emissão; </w:t>
      </w:r>
    </w:p>
    <w:p w:rsidR="0046784B" w:rsidRPr="00412E43" w:rsidRDefault="0046784B" w:rsidP="0046784B">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os</w:t>
      </w:r>
      <w:proofErr w:type="gramEnd"/>
      <w:r w:rsidRPr="00412E43">
        <w:rPr>
          <w:rFonts w:ascii="Bookman Old Style" w:eastAsia="Bookman Old Style" w:hAnsi="Bookman Old Style" w:cs="Bookman Old Style"/>
          <w:color w:val="000000"/>
        </w:rPr>
        <w:t xml:space="preserve"> dados do contrato e do órgão contratante; </w:t>
      </w:r>
    </w:p>
    <w:p w:rsidR="0046784B" w:rsidRPr="00412E43" w:rsidRDefault="0046784B" w:rsidP="0046784B">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w:t>
      </w:r>
      <w:proofErr w:type="gramEnd"/>
      <w:r w:rsidRPr="00412E43">
        <w:rPr>
          <w:rFonts w:ascii="Bookman Old Style" w:eastAsia="Bookman Old Style" w:hAnsi="Bookman Old Style" w:cs="Bookman Old Style"/>
          <w:color w:val="000000"/>
        </w:rPr>
        <w:t xml:space="preserve"> período respectivo de execução do contrato; </w:t>
      </w:r>
    </w:p>
    <w:p w:rsidR="0046784B" w:rsidRPr="00412E43" w:rsidRDefault="0046784B" w:rsidP="0046784B">
      <w:pPr>
        <w:numPr>
          <w:ilvl w:val="0"/>
          <w:numId w:val="3"/>
        </w:numPr>
        <w:spacing w:before="120" w:after="120"/>
        <w:jc w:val="both"/>
        <w:rPr>
          <w:rFonts w:ascii="Bookman Old Style" w:hAnsi="Bookman Old Style"/>
        </w:rPr>
      </w:pPr>
      <w:proofErr w:type="gramStart"/>
      <w:r w:rsidRPr="00412E43">
        <w:rPr>
          <w:rFonts w:ascii="Bookman Old Style" w:eastAsia="Bookman Old Style" w:hAnsi="Bookman Old Style" w:cs="Bookman Old Style"/>
          <w:color w:val="000000"/>
        </w:rPr>
        <w:t>o</w:t>
      </w:r>
      <w:proofErr w:type="gramEnd"/>
      <w:r w:rsidRPr="00412E43">
        <w:rPr>
          <w:rFonts w:ascii="Bookman Old Style" w:eastAsia="Bookman Old Style" w:hAnsi="Bookman Old Style" w:cs="Bookman Old Style"/>
          <w:color w:val="000000"/>
        </w:rPr>
        <w:t xml:space="preserve"> valor a pagar; e </w:t>
      </w:r>
    </w:p>
    <w:p w:rsidR="0046784B" w:rsidRPr="00412E43" w:rsidRDefault="0046784B" w:rsidP="0046784B">
      <w:pPr>
        <w:numPr>
          <w:ilvl w:val="0"/>
          <w:numId w:val="3"/>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 </w:t>
      </w:r>
      <w:proofErr w:type="gramStart"/>
      <w:r w:rsidRPr="00412E43">
        <w:rPr>
          <w:rFonts w:ascii="Bookman Old Style" w:eastAsia="Bookman Old Style" w:hAnsi="Bookman Old Style" w:cs="Bookman Old Style"/>
          <w:color w:val="000000"/>
        </w:rPr>
        <w:t>eventual</w:t>
      </w:r>
      <w:proofErr w:type="gramEnd"/>
      <w:r w:rsidRPr="00412E43">
        <w:rPr>
          <w:rFonts w:ascii="Bookman Old Style" w:eastAsia="Bookman Old Style" w:hAnsi="Bookman Old Style" w:cs="Bookman Old Style"/>
          <w:color w:val="000000"/>
        </w:rPr>
        <w:t xml:space="preserve"> destaque do valor de retenções tributárias cabíveis.</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Havendo erro </w:t>
      </w:r>
      <w:r w:rsidRPr="00412E43">
        <w:rPr>
          <w:rFonts w:ascii="Bookman Old Style" w:eastAsia="Bookman Old Style" w:hAnsi="Bookman Old Style" w:cs="Bookman Old Style"/>
          <w:color w:val="000000"/>
        </w:rPr>
        <w:t>na</w:t>
      </w:r>
      <w:r w:rsidRPr="00412E43">
        <w:rPr>
          <w:rFonts w:ascii="Bookman Old Style" w:eastAsia="Bookman Old Style" w:hAnsi="Bookman Old Style" w:cs="Bookman Old Style"/>
        </w:rPr>
        <w:t xml:space="preserve"> apresentação da Nota Fiscal/Fatura, ou circunstância que impeça a liquidação da </w:t>
      </w:r>
      <w:r w:rsidRPr="00412E43">
        <w:rPr>
          <w:rFonts w:ascii="Bookman Old Style" w:eastAsia="Bookman Old Style" w:hAnsi="Bookman Old Style" w:cs="Bookman Old Style"/>
          <w:color w:val="000000"/>
        </w:rPr>
        <w:t>despesa</w:t>
      </w:r>
      <w:r w:rsidRPr="00412E43">
        <w:rPr>
          <w:rFonts w:ascii="Bookman Old Style" w:eastAsia="Bookman Old Style" w:hAnsi="Bookman Old Style" w:cs="Bookman Old Style"/>
        </w:rPr>
        <w:t>, o pagamento ficará sobrestado até que o contratado providencie as medidas saneadoras. Nessa hipótese, o prazo para pagamento iniciar-se-á após a comprovação da regularização da situação, não acarretando qualquer ônus para o contratante;</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 </w:t>
      </w:r>
      <w:r w:rsidRPr="00412E43">
        <w:rPr>
          <w:rFonts w:ascii="Bookman Old Style" w:eastAsia="Bookman Old Style" w:hAnsi="Bookman Old Style" w:cs="Bookman Old Style"/>
          <w:color w:val="000000"/>
        </w:rPr>
        <w:t xml:space="preserve">A Nota Fiscal ou Fatura deverá ser obrigatoriamente acompanhada da comprovação da regularidade fiscal, constatada por meio de consulta </w:t>
      </w:r>
      <w:r w:rsidRPr="00412E43">
        <w:rPr>
          <w:rFonts w:ascii="Bookman Old Style" w:eastAsia="Bookman Old Style" w:hAnsi="Bookman Old Style" w:cs="Bookman Old Style"/>
          <w:i/>
          <w:color w:val="000000"/>
        </w:rPr>
        <w:t>on-line</w:t>
      </w:r>
      <w:r w:rsidRPr="00412E43">
        <w:rPr>
          <w:rFonts w:ascii="Bookman Old Style" w:eastAsia="Bookman Old Style" w:hAnsi="Bookman Old Style" w:cs="Bookman Old Style"/>
          <w:color w:val="000000"/>
        </w:rPr>
        <w:t xml:space="preserve"> ao SICAF ou, na impossibilidade de acesso ao referido Sistema, mediante consulta aos sítios eletrônicos oficiais ou à documentação mencionada no art. 68 da Lei nº </w:t>
      </w:r>
      <w:r w:rsidRPr="00412E43">
        <w:rPr>
          <w:rFonts w:ascii="Bookman Old Style" w:eastAsia="Bookman Old Style" w:hAnsi="Bookman Old Style" w:cs="Bookman Old Style"/>
        </w:rPr>
        <w:t xml:space="preserve">14.133/2021. </w:t>
      </w:r>
      <w:r w:rsidRPr="00412E43">
        <w:rPr>
          <w:rFonts w:ascii="Bookman Old Style" w:eastAsia="Bookman Old Style" w:hAnsi="Bookman Old Style" w:cs="Bookman Old Style"/>
          <w:color w:val="000000"/>
        </w:rPr>
        <w:t xml:space="preserve">  </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Previamente à emissão de nota de empenho e a cada pagamento, a Administração deverá realizar consulta ao </w:t>
      </w:r>
      <w:r w:rsidRPr="00412E43">
        <w:rPr>
          <w:rFonts w:ascii="Bookman Old Style" w:eastAsia="Bookman Old Style" w:hAnsi="Bookman Old Style" w:cs="Bookman Old Style"/>
          <w:color w:val="000000"/>
        </w:rPr>
        <w:t>SICAF</w:t>
      </w:r>
      <w:r w:rsidRPr="00412E43">
        <w:rPr>
          <w:rFonts w:ascii="Bookman Old Style" w:eastAsia="Bookman Old Style" w:hAnsi="Bookman Old Style" w:cs="Bookman Old Style"/>
        </w:rPr>
        <w:t xml:space="preserve"> para: a) verificar a manutenção das condições de habilitação exigidas no edital; b) identificar possível razão que impeça a participação em licitação, no âmbito do órgão ou </w:t>
      </w:r>
      <w:r w:rsidRPr="00412E43">
        <w:rPr>
          <w:rFonts w:ascii="Bookman Old Style" w:eastAsia="Bookman Old Style" w:hAnsi="Bookman Old Style" w:cs="Bookman Old Style"/>
        </w:rPr>
        <w:lastRenderedPageBreak/>
        <w:t>entidade, proibição de contratar com o Poder Público, bem como ocorrências impeditivas indiretas.</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Constatando-se, junto ao SICAF, a situação de irregularidade do contratado, será providenciada sua </w:t>
      </w:r>
      <w:r w:rsidRPr="00412E43">
        <w:rPr>
          <w:rFonts w:ascii="Bookman Old Style" w:eastAsia="Bookman Old Style" w:hAnsi="Bookman Old Style" w:cs="Bookman Old Style"/>
          <w:color w:val="000000"/>
        </w:rPr>
        <w:t>notificação</w:t>
      </w:r>
      <w:r w:rsidRPr="00412E43">
        <w:rPr>
          <w:rFonts w:ascii="Bookman Old Style" w:eastAsia="Bookman Old Style" w:hAnsi="Bookman Old Style" w:cs="Bookman Old Style"/>
        </w:rPr>
        <w:t>, por escrito, para que, no prazo de 5 (cinco) dias úteis, regularize sua situação ou, no mesmo prazo, apresente sua defesa. O prazo poderá ser prorrogado uma vez, por igual período, a critério do contratante.</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Persistindo a irregularidade, o contratante deverá adotar as medidas necessárias à rescisão contratual nos autos do processo administrativo correspondente, assegurada ao contratado a ampla defesa. </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Havendo a efetiva execução do objeto, os pagamentos serão realizados normalmente, até que se decida pela rescisão do contrato, caso o contratado não regularize sua situação junto ao SICAF.  </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Quando do pagamento, será efetuada a retenção tributária prevista na legislação aplicável.</w:t>
      </w:r>
    </w:p>
    <w:p w:rsidR="0046784B" w:rsidRPr="00412E43" w:rsidRDefault="0046784B" w:rsidP="0046784B">
      <w:pPr>
        <w:numPr>
          <w:ilvl w:val="3"/>
          <w:numId w:val="12"/>
        </w:numPr>
        <w:spacing w:before="120" w:after="120"/>
        <w:jc w:val="both"/>
        <w:rPr>
          <w:rFonts w:ascii="Bookman Old Style" w:hAnsi="Bookman Old Style"/>
        </w:rPr>
      </w:pPr>
      <w:r w:rsidRPr="00412E43">
        <w:rPr>
          <w:rFonts w:ascii="Bookman Old Style" w:eastAsia="Bookman Old Style" w:hAnsi="Bookman Old Style" w:cs="Bookman Old Style"/>
        </w:rPr>
        <w:t>Independentemente do percentual de tributo inserido na planilha, no pagamento serão retidos na fonte os percentuais estabelecidos na legislação vigente.</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SEXTA - REAJUSTE (art. 92, V)</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Os preços inicialmente contratados são fixos e irreajustáveis no prazo de um ano contado da data do orçamento estimado.</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SÉTIMA - OBRIGAÇÕES DO CONTRATANTE (art. 92, X, XI e XIV)</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São obrigações do Contratante:</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Exigir</w:t>
      </w:r>
      <w:r w:rsidRPr="00412E43">
        <w:rPr>
          <w:rFonts w:ascii="Bookman Old Style" w:eastAsia="Bookman Old Style" w:hAnsi="Bookman Old Style" w:cs="Bookman Old Style"/>
          <w:color w:val="000000"/>
        </w:rPr>
        <w:t xml:space="preserve"> o cumprimento de todas as obrigações assumidas pelo Contratado, de acordo com o contrato e seus anexos;</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Receber o objeto no prazo e condições estabelecidas no Termo de Referência;</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Notificar o Contratado</w:t>
      </w:r>
      <w:r w:rsidRPr="00412E43">
        <w:rPr>
          <w:rFonts w:ascii="Bookman Old Style" w:eastAsia="Bookman Old Style" w:hAnsi="Bookman Old Style" w:cs="Bookman Old Style"/>
        </w:rPr>
        <w:t>, por escrito, sobre vícios, defeitos ou incorreções verificadas no objeto fornecido, para que seja por ele substituído, reparado ou corrigido, no total ou em parte, às suas expensas;</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Acompanhar e fiscalizar a execução do contrato e o cumprimento das obrigações pelo Contratado</w:t>
      </w:r>
      <w:r w:rsidRPr="00412E43">
        <w:rPr>
          <w:rFonts w:ascii="Bookman Old Style" w:eastAsia="Bookman Old Style" w:hAnsi="Bookman Old Style" w:cs="Bookman Old Style"/>
          <w:color w:val="000000"/>
        </w:rPr>
        <w:t>;</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Efetuar o pagamento ao Contratado</w:t>
      </w:r>
      <w:r w:rsidRPr="00412E43">
        <w:rPr>
          <w:rFonts w:ascii="Bookman Old Style" w:eastAsia="Bookman Old Style" w:hAnsi="Bookman Old Style" w:cs="Bookman Old Style"/>
          <w:b/>
        </w:rPr>
        <w:t xml:space="preserve"> </w:t>
      </w:r>
      <w:r w:rsidRPr="00412E43">
        <w:rPr>
          <w:rFonts w:ascii="Bookman Old Style" w:eastAsia="Bookman Old Style" w:hAnsi="Bookman Old Style" w:cs="Bookman Old Style"/>
        </w:rPr>
        <w:t>do valor correspondente ao fornecimento do objeto, no prazo, forma e condições estabelecidos no presente Contrato;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Aplicar ao Contratado sanções motivadas pela inexecução total ou parcial do Contrato;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color w:val="00000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i/>
        </w:rPr>
        <w:t>Notificar os emitentes das garantias quanto ao início de processo administrativo para apuração de descumprimento de cláusulas contratuais.</w:t>
      </w:r>
    </w:p>
    <w:p w:rsidR="0046784B" w:rsidRPr="00412E43" w:rsidRDefault="0046784B" w:rsidP="0046784B">
      <w:pPr>
        <w:numPr>
          <w:ilvl w:val="1"/>
          <w:numId w:val="5"/>
        </w:numPr>
        <w:jc w:val="both"/>
        <w:rPr>
          <w:rFonts w:ascii="Bookman Old Style" w:hAnsi="Bookman Old Style"/>
        </w:rPr>
      </w:pPr>
      <w:r w:rsidRPr="00412E43">
        <w:rPr>
          <w:rFonts w:ascii="Bookman Old Style" w:eastAsia="Bookman Old Style" w:hAnsi="Bookman Old Style" w:cs="Bookman Old Style"/>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w:t>
      </w:r>
    </w:p>
    <w:p w:rsidR="0046784B" w:rsidRPr="00412E43" w:rsidRDefault="0046784B" w:rsidP="0046784B">
      <w:pPr>
        <w:numPr>
          <w:ilvl w:val="0"/>
          <w:numId w:val="5"/>
        </w:numPr>
        <w:jc w:val="both"/>
        <w:rPr>
          <w:rFonts w:ascii="Bookman Old Style" w:hAnsi="Bookman Old Style"/>
        </w:rPr>
      </w:pPr>
      <w:r w:rsidRPr="00412E43">
        <w:rPr>
          <w:rFonts w:ascii="Bookman Old Style" w:eastAsia="Bookman Old Style" w:hAnsi="Bookman Old Style" w:cs="Bookman Old Style"/>
          <w:b/>
        </w:rPr>
        <w:lastRenderedPageBreak/>
        <w:t>CLÁUSULA OITAVA - OBRIGAÇÕES DA CONTRATADA (art. 92, XIV, XVI e XVII)</w:t>
      </w:r>
    </w:p>
    <w:p w:rsidR="0046784B" w:rsidRPr="00412E43" w:rsidRDefault="0046784B" w:rsidP="0046784B">
      <w:pPr>
        <w:pStyle w:val="PargrafodaLista"/>
        <w:numPr>
          <w:ilvl w:val="1"/>
          <w:numId w:val="5"/>
        </w:numPr>
        <w:tabs>
          <w:tab w:val="left" w:pos="0"/>
        </w:tabs>
        <w:rPr>
          <w:rFonts w:ascii="Bookman Old Style" w:hAnsi="Bookman Old Style"/>
          <w:sz w:val="20"/>
          <w:szCs w:val="20"/>
        </w:rPr>
      </w:pPr>
      <w:r w:rsidRPr="00412E43">
        <w:rPr>
          <w:rFonts w:ascii="Bookman Old Style" w:eastAsia="Bookman Old Style" w:hAnsi="Bookman Old Style" w:cs="Bookman Old Style"/>
          <w:color w:val="000000"/>
          <w:sz w:val="20"/>
          <w:szCs w:val="20"/>
        </w:rPr>
        <w:t xml:space="preserve">A contratada deverá entregar, durante toda a vigência do contrato, a mesma marca </w:t>
      </w:r>
      <w:r w:rsidRPr="00412E43">
        <w:rPr>
          <w:rFonts w:ascii="Bookman Old Style" w:eastAsia="Bookman Old Style" w:hAnsi="Bookman Old Style" w:cs="Bookman Old Style"/>
          <w:sz w:val="20"/>
          <w:szCs w:val="20"/>
        </w:rPr>
        <w:t xml:space="preserve">dos produtos </w:t>
      </w:r>
      <w:r w:rsidRPr="00412E43">
        <w:rPr>
          <w:rFonts w:ascii="Bookman Old Style" w:eastAsia="Bookman Old Style" w:hAnsi="Bookman Old Style" w:cs="Bookman Old Style"/>
          <w:color w:val="000000"/>
          <w:sz w:val="20"/>
          <w:szCs w:val="20"/>
        </w:rPr>
        <w:t>apresentados na proposta.</w:t>
      </w:r>
    </w:p>
    <w:p w:rsidR="0046784B" w:rsidRPr="00412E43" w:rsidRDefault="0046784B" w:rsidP="0046784B">
      <w:pPr>
        <w:pStyle w:val="PargrafodaLista"/>
        <w:numPr>
          <w:ilvl w:val="1"/>
          <w:numId w:val="5"/>
        </w:numPr>
        <w:tabs>
          <w:tab w:val="left" w:pos="0"/>
        </w:tabs>
        <w:rPr>
          <w:rFonts w:ascii="Bookman Old Style" w:hAnsi="Bookman Old Style"/>
          <w:sz w:val="20"/>
          <w:szCs w:val="20"/>
        </w:rPr>
      </w:pPr>
      <w:r w:rsidRPr="00412E43">
        <w:rPr>
          <w:rFonts w:ascii="Bookman Old Style" w:eastAsia="Bookman Old Style" w:hAnsi="Bookman Old Style" w:cs="Bookman Old Style"/>
          <w:sz w:val="20"/>
          <w:szCs w:val="20"/>
        </w:rPr>
        <w:t xml:space="preserve">Os produtos </w:t>
      </w:r>
      <w:r w:rsidRPr="00412E43">
        <w:rPr>
          <w:rFonts w:ascii="Bookman Old Style" w:eastAsia="Bookman Old Style" w:hAnsi="Bookman Old Style" w:cs="Bookman Old Style"/>
          <w:color w:val="000000"/>
          <w:sz w:val="20"/>
          <w:szCs w:val="20"/>
        </w:rPr>
        <w:t xml:space="preserve">deverão estar em conformidade com as normas vigentes. Na entrega serão verificados os prazos de validade e o estado de conservação das embalagens. </w:t>
      </w:r>
    </w:p>
    <w:p w:rsidR="0046784B" w:rsidRPr="00412E43" w:rsidRDefault="0046784B" w:rsidP="0046784B">
      <w:pPr>
        <w:pStyle w:val="PargrafodaLista"/>
        <w:numPr>
          <w:ilvl w:val="1"/>
          <w:numId w:val="5"/>
        </w:numPr>
        <w:tabs>
          <w:tab w:val="left" w:pos="0"/>
        </w:tabs>
        <w:rPr>
          <w:rFonts w:ascii="Bookman Old Style" w:hAnsi="Bookman Old Style"/>
          <w:sz w:val="20"/>
          <w:szCs w:val="20"/>
        </w:rPr>
      </w:pPr>
      <w:r w:rsidRPr="00412E43">
        <w:rPr>
          <w:rFonts w:ascii="Bookman Old Style" w:eastAsia="Bookman Old Style" w:hAnsi="Bookman Old Style" w:cs="Bookman Old Style"/>
          <w:color w:val="000000"/>
          <w:sz w:val="20"/>
          <w:szCs w:val="20"/>
        </w:rPr>
        <w:t xml:space="preserve">A contratada ficará obrigada a trocar, a suas expensas, a mercadoria que vier a ser recusada, por não atender as condições estabelecidas no Termo de Referência. Prazo de troca: 05 (cinco) dias úteis. </w:t>
      </w:r>
    </w:p>
    <w:p w:rsidR="0046784B" w:rsidRPr="00412E43" w:rsidRDefault="0046784B" w:rsidP="0046784B">
      <w:pPr>
        <w:numPr>
          <w:ilvl w:val="1"/>
          <w:numId w:val="5"/>
        </w:numPr>
        <w:tabs>
          <w:tab w:val="left" w:pos="705"/>
        </w:tabs>
        <w:jc w:val="both"/>
        <w:outlineLvl w:val="0"/>
        <w:rPr>
          <w:rFonts w:ascii="Bookman Old Style" w:hAnsi="Bookman Old Style"/>
        </w:rPr>
      </w:pPr>
      <w:r w:rsidRPr="00412E43">
        <w:rPr>
          <w:rFonts w:ascii="Bookman Old Style" w:eastAsia="Bookman Old Style" w:hAnsi="Bookman Old Style" w:cs="Bookman Old Style"/>
          <w:color w:val="00000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46784B" w:rsidRPr="00412E43" w:rsidRDefault="0046784B" w:rsidP="0046784B">
      <w:pPr>
        <w:numPr>
          <w:ilvl w:val="1"/>
          <w:numId w:val="5"/>
        </w:numPr>
        <w:tabs>
          <w:tab w:val="left" w:pos="705"/>
        </w:tabs>
        <w:jc w:val="both"/>
        <w:outlineLvl w:val="0"/>
        <w:rPr>
          <w:rFonts w:ascii="Bookman Old Style" w:hAnsi="Bookman Old Style"/>
        </w:rPr>
      </w:pPr>
      <w:r w:rsidRPr="00412E43">
        <w:rPr>
          <w:rFonts w:ascii="Bookman Old Style" w:eastAsia="Bookman Old Style" w:hAnsi="Bookman Old Style" w:cs="Bookman Old Style"/>
          <w:color w:val="000000"/>
        </w:rPr>
        <w:t xml:space="preserve">Os bens deverão ser entregues ou prestados no prazo máximo de 15 (Quinze) dias, de forma PARCELADA, após o recebimento da nota de empenho, seguindo rigorosamente as quantidades solicitadas na respectiva nota de empenho. </w:t>
      </w:r>
    </w:p>
    <w:p w:rsidR="0046784B" w:rsidRPr="00412E43" w:rsidRDefault="0046784B" w:rsidP="0046784B">
      <w:pPr>
        <w:numPr>
          <w:ilvl w:val="1"/>
          <w:numId w:val="5"/>
        </w:numPr>
        <w:tabs>
          <w:tab w:val="left" w:pos="705"/>
        </w:tabs>
        <w:jc w:val="both"/>
        <w:outlineLvl w:val="0"/>
        <w:rPr>
          <w:rFonts w:ascii="Bookman Old Style" w:hAnsi="Bookman Old Style"/>
        </w:rPr>
      </w:pPr>
      <w:r w:rsidRPr="00412E43">
        <w:rPr>
          <w:rFonts w:ascii="Bookman Old Style" w:eastAsia="Bookman Old Style" w:hAnsi="Bookman Old Style" w:cs="Bookman Old Style"/>
          <w:color w:val="000000"/>
        </w:rPr>
        <w:t>A contratada deverá manter durante toda a execução do contrato, em compatibilidade com as obrigações por ela assumidas, todas as condições de habilitação e qualificação exigidas na licitação.</w:t>
      </w:r>
    </w:p>
    <w:p w:rsidR="0046784B" w:rsidRPr="00412E43" w:rsidRDefault="0046784B" w:rsidP="0046784B">
      <w:pPr>
        <w:numPr>
          <w:ilvl w:val="1"/>
          <w:numId w:val="5"/>
        </w:numPr>
        <w:tabs>
          <w:tab w:val="left" w:pos="705"/>
        </w:tabs>
        <w:jc w:val="both"/>
        <w:outlineLvl w:val="0"/>
        <w:rPr>
          <w:rFonts w:ascii="Bookman Old Style" w:hAnsi="Bookman Old Style"/>
        </w:rPr>
      </w:pPr>
      <w:r w:rsidRPr="00412E43">
        <w:rPr>
          <w:rFonts w:ascii="Bookman Old Style" w:hAnsi="Bookman Old Style"/>
        </w:rPr>
        <w:t>Os bens deverão ser entregues no Almoxarifado junto ao Posto de Saúde Central da Secretaria de Saúde; Rua Santos Dumont, 677, Centro, cidade de Santo Antônio do Sudoeste-Paraná entre os horários das 7:30 ás 11:00hs e 13:30 ás 16:30hs, nos dias uteis.</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NONA – INFRAÇÕES E SANÇÕES ADMINISTRATIVAS (art. 92, XIV)</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Comete infração administrativa, nos termos da Lei nº 14.133, de 2021, o Contratado que:</w:t>
      </w:r>
    </w:p>
    <w:p w:rsidR="0046784B" w:rsidRPr="00412E43" w:rsidRDefault="0046784B" w:rsidP="0046784B">
      <w:pPr>
        <w:numPr>
          <w:ilvl w:val="2"/>
          <w:numId w:val="2"/>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der</w:t>
      </w:r>
      <w:proofErr w:type="gramEnd"/>
      <w:r w:rsidRPr="00412E43">
        <w:rPr>
          <w:rFonts w:ascii="Bookman Old Style" w:eastAsia="Bookman Old Style" w:hAnsi="Bookman Old Style" w:cs="Bookman Old Style"/>
        </w:rPr>
        <w:t xml:space="preserve"> causa à inexecução parcial do contrato;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der</w:t>
      </w:r>
      <w:proofErr w:type="gramEnd"/>
      <w:r w:rsidRPr="00412E43">
        <w:rPr>
          <w:rFonts w:ascii="Bookman Old Style" w:eastAsia="Bookman Old Style" w:hAnsi="Bookman Old Style" w:cs="Bookman Old Style"/>
        </w:rPr>
        <w:t xml:space="preserve"> causa à inexecução parcial do contrato que cause grave dano à Administração ou ao funcionamento dos serviços públicos ou ao interesse coletivo;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der</w:t>
      </w:r>
      <w:proofErr w:type="gramEnd"/>
      <w:r w:rsidRPr="00412E43">
        <w:rPr>
          <w:rFonts w:ascii="Bookman Old Style" w:eastAsia="Bookman Old Style" w:hAnsi="Bookman Old Style" w:cs="Bookman Old Style"/>
        </w:rPr>
        <w:t xml:space="preserve"> causa à inexecução total do contrato;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deixar</w:t>
      </w:r>
      <w:proofErr w:type="gramEnd"/>
      <w:r w:rsidRPr="00412E43">
        <w:rPr>
          <w:rFonts w:ascii="Bookman Old Style" w:eastAsia="Bookman Old Style" w:hAnsi="Bookman Old Style" w:cs="Bookman Old Style"/>
        </w:rPr>
        <w:t xml:space="preserve"> de entregar a documentação exigida para o certame;</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não</w:t>
      </w:r>
      <w:proofErr w:type="gramEnd"/>
      <w:r w:rsidRPr="00412E43">
        <w:rPr>
          <w:rFonts w:ascii="Bookman Old Style" w:eastAsia="Bookman Old Style" w:hAnsi="Bookman Old Style" w:cs="Bookman Old Style"/>
        </w:rPr>
        <w:t xml:space="preserve"> mantiver a proposta, salvo em decorrência de fato superveniente devidamente justificado;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não</w:t>
      </w:r>
      <w:proofErr w:type="gramEnd"/>
      <w:r w:rsidRPr="00412E43">
        <w:rPr>
          <w:rFonts w:ascii="Bookman Old Style" w:eastAsia="Bookman Old Style" w:hAnsi="Bookman Old Style" w:cs="Bookman Old Style"/>
        </w:rPr>
        <w:t xml:space="preserve"> celebrar o contrato ou não entregar a documentação exigida para a contratação, quando convocado dentro do prazo de validade de sua proposta;</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ensejar</w:t>
      </w:r>
      <w:proofErr w:type="gramEnd"/>
      <w:r w:rsidRPr="00412E43">
        <w:rPr>
          <w:rFonts w:ascii="Bookman Old Style" w:eastAsia="Bookman Old Style" w:hAnsi="Bookman Old Style" w:cs="Bookman Old Style"/>
        </w:rPr>
        <w:t xml:space="preserve"> o retardamento da execução ou da entrega do objeto da contratação sem motivo justificado;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apresentar</w:t>
      </w:r>
      <w:proofErr w:type="gramEnd"/>
      <w:r w:rsidRPr="00412E43">
        <w:rPr>
          <w:rFonts w:ascii="Bookman Old Style" w:eastAsia="Bookman Old Style" w:hAnsi="Bookman Old Style" w:cs="Bookman Old Style"/>
        </w:rPr>
        <w:t xml:space="preserve"> declaração ou documentação falsa exigida para o certame ou prestar declaração falsa durante a dispensa eletrônica ou execução do contrato;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fraudar</w:t>
      </w:r>
      <w:proofErr w:type="gramEnd"/>
      <w:r w:rsidRPr="00412E43">
        <w:rPr>
          <w:rFonts w:ascii="Bookman Old Style" w:eastAsia="Bookman Old Style" w:hAnsi="Bookman Old Style" w:cs="Bookman Old Style"/>
        </w:rPr>
        <w:t xml:space="preserve"> a contratação ou praticar ato fraudulento na execução do contrato;</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comportar</w:t>
      </w:r>
      <w:proofErr w:type="gramEnd"/>
      <w:r w:rsidRPr="00412E43">
        <w:rPr>
          <w:rFonts w:ascii="Bookman Old Style" w:eastAsia="Bookman Old Style" w:hAnsi="Bookman Old Style" w:cs="Bookman Old Style"/>
        </w:rPr>
        <w:t>-se de modo inidôneo ou cometer fraude de qualquer natureza;</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praticar</w:t>
      </w:r>
      <w:proofErr w:type="gramEnd"/>
      <w:r w:rsidRPr="00412E43">
        <w:rPr>
          <w:rFonts w:ascii="Bookman Old Style" w:eastAsia="Bookman Old Style" w:hAnsi="Bookman Old Style" w:cs="Bookman Old Style"/>
        </w:rPr>
        <w:t xml:space="preserve"> atos ilícitos com vistas a frustrar os objetivos do certame;</w:t>
      </w:r>
    </w:p>
    <w:p w:rsidR="0046784B" w:rsidRPr="00412E43" w:rsidRDefault="0046784B" w:rsidP="0046784B">
      <w:pPr>
        <w:numPr>
          <w:ilvl w:val="2"/>
          <w:numId w:val="1"/>
        </w:numPr>
        <w:spacing w:before="120" w:after="120"/>
        <w:ind w:right="-30"/>
        <w:jc w:val="both"/>
        <w:rPr>
          <w:rFonts w:ascii="Bookman Old Style" w:hAnsi="Bookman Old Style"/>
        </w:rPr>
      </w:pPr>
      <w:proofErr w:type="gramStart"/>
      <w:r w:rsidRPr="00412E43">
        <w:rPr>
          <w:rFonts w:ascii="Bookman Old Style" w:eastAsia="Bookman Old Style" w:hAnsi="Bookman Old Style" w:cs="Bookman Old Style"/>
        </w:rPr>
        <w:t>praticar</w:t>
      </w:r>
      <w:proofErr w:type="gramEnd"/>
      <w:r w:rsidRPr="00412E43">
        <w:rPr>
          <w:rFonts w:ascii="Bookman Old Style" w:eastAsia="Bookman Old Style" w:hAnsi="Bookman Old Style" w:cs="Bookman Old Style"/>
        </w:rPr>
        <w:t xml:space="preserve"> ato lesivo previsto no art. 5º da Lei nº 12.846, de 1º de agosto de 2013.</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Serão aplicadas ao responsável pelas infrações administrativas acima descritas as seguintes sanções:</w:t>
      </w:r>
    </w:p>
    <w:p w:rsidR="0046784B" w:rsidRPr="00412E43" w:rsidRDefault="0046784B" w:rsidP="0046784B">
      <w:pPr>
        <w:numPr>
          <w:ilvl w:val="2"/>
          <w:numId w:val="16"/>
        </w:numPr>
        <w:spacing w:before="120" w:after="120"/>
        <w:jc w:val="both"/>
        <w:rPr>
          <w:rFonts w:ascii="Bookman Old Style" w:hAnsi="Bookman Old Style"/>
        </w:rPr>
      </w:pPr>
      <w:r w:rsidRPr="00412E43">
        <w:rPr>
          <w:rFonts w:ascii="Bookman Old Style" w:eastAsia="Bookman Old Style" w:hAnsi="Bookman Old Style" w:cs="Bookman Old Style"/>
          <w:b/>
        </w:rPr>
        <w:t>Advertência</w:t>
      </w:r>
      <w:r w:rsidRPr="00412E43">
        <w:rPr>
          <w:rFonts w:ascii="Bookman Old Style" w:eastAsia="Bookman Old Style" w:hAnsi="Bookman Old Style" w:cs="Bookman Old Style"/>
        </w:rPr>
        <w:t>, quando o Contratado der causa à inexecução parcial do contrato, sempre que não se justificar a imposição de penalidade mais grave (art. 156, §2º, da Lei);</w:t>
      </w:r>
    </w:p>
    <w:p w:rsidR="0046784B" w:rsidRPr="00412E43" w:rsidRDefault="0046784B" w:rsidP="0046784B">
      <w:pPr>
        <w:numPr>
          <w:ilvl w:val="2"/>
          <w:numId w:val="15"/>
        </w:numPr>
        <w:spacing w:before="120" w:after="120"/>
        <w:jc w:val="both"/>
        <w:rPr>
          <w:rFonts w:ascii="Bookman Old Style" w:hAnsi="Bookman Old Style"/>
        </w:rPr>
      </w:pPr>
      <w:r w:rsidRPr="00412E43">
        <w:rPr>
          <w:rFonts w:ascii="Bookman Old Style" w:eastAsia="Bookman Old Style" w:hAnsi="Bookman Old Style" w:cs="Bookman Old Style"/>
          <w:b/>
        </w:rPr>
        <w:t>Impedimento de licitar e contratar</w:t>
      </w:r>
      <w:r w:rsidRPr="00412E43">
        <w:rPr>
          <w:rFonts w:ascii="Bookman Old Style" w:eastAsia="Bookman Old Style" w:hAnsi="Bookman Old Style" w:cs="Bookman Old Style"/>
        </w:rPr>
        <w:t>, quando praticadas as condutas descritas nas alíneas b, c, d, e, f e g do subitem acima deste Contrato, sempre que não se justificar a imposição de penalidade mais grave (art. 156, §4º, da Lei);</w:t>
      </w:r>
    </w:p>
    <w:p w:rsidR="0046784B" w:rsidRPr="00412E43" w:rsidRDefault="0046784B" w:rsidP="0046784B">
      <w:pPr>
        <w:numPr>
          <w:ilvl w:val="2"/>
          <w:numId w:val="15"/>
        </w:numPr>
        <w:spacing w:before="120" w:after="120"/>
        <w:jc w:val="both"/>
        <w:rPr>
          <w:rFonts w:ascii="Bookman Old Style" w:hAnsi="Bookman Old Style"/>
        </w:rPr>
      </w:pPr>
      <w:r w:rsidRPr="00412E43">
        <w:rPr>
          <w:rFonts w:ascii="Bookman Old Style" w:eastAsia="Bookman Old Style" w:hAnsi="Bookman Old Style" w:cs="Bookman Old Style"/>
          <w:b/>
        </w:rPr>
        <w:t>Declaração de inidoneidade para licitar e contratar</w:t>
      </w:r>
      <w:r w:rsidRPr="00412E43">
        <w:rPr>
          <w:rFonts w:ascii="Bookman Old Style" w:eastAsia="Bookman Old Style" w:hAnsi="Bookman Old Style" w:cs="Bookman Old Style"/>
        </w:rPr>
        <w:t>, quando praticadas as condutas descritas nas alíneas h, i, j, k e l do subitem acima deste Contrato, bem como nas alíneas b, c, d, e, f e g, que justifiquem a imposição de penalidade mais grave (art. 156, §5º, da Lei)</w:t>
      </w:r>
    </w:p>
    <w:p w:rsidR="0046784B" w:rsidRPr="00412E43" w:rsidRDefault="0046784B" w:rsidP="0046784B">
      <w:pPr>
        <w:numPr>
          <w:ilvl w:val="2"/>
          <w:numId w:val="15"/>
        </w:numPr>
        <w:spacing w:before="120" w:after="120"/>
        <w:jc w:val="both"/>
        <w:rPr>
          <w:rFonts w:ascii="Bookman Old Style" w:hAnsi="Bookman Old Style"/>
        </w:rPr>
      </w:pPr>
      <w:r w:rsidRPr="00412E43">
        <w:rPr>
          <w:rFonts w:ascii="Bookman Old Style" w:eastAsia="Bookman Old Style" w:hAnsi="Bookman Old Style" w:cs="Bookman Old Style"/>
          <w:b/>
        </w:rPr>
        <w:lastRenderedPageBreak/>
        <w:t>Multa:</w:t>
      </w:r>
    </w:p>
    <w:p w:rsidR="0046784B" w:rsidRPr="00412E43" w:rsidRDefault="0046784B" w:rsidP="0046784B">
      <w:pPr>
        <w:numPr>
          <w:ilvl w:val="3"/>
          <w:numId w:val="22"/>
        </w:numPr>
        <w:spacing w:before="120" w:after="120"/>
        <w:jc w:val="both"/>
        <w:rPr>
          <w:rFonts w:ascii="Bookman Old Style" w:hAnsi="Bookman Old Style"/>
        </w:rPr>
      </w:pPr>
      <w:r w:rsidRPr="00412E43">
        <w:rPr>
          <w:rFonts w:ascii="Bookman Old Style" w:eastAsia="Bookman Old Style" w:hAnsi="Bookman Old Style" w:cs="Bookman Old Style"/>
        </w:rPr>
        <w:t>Moratória de 1% (um por cento) por dia de atraso injustificado sobre o valor da parcela inadimplida, até o limite de 05 (cinco) dias;</w:t>
      </w:r>
    </w:p>
    <w:p w:rsidR="0046784B" w:rsidRPr="00412E43" w:rsidRDefault="0046784B" w:rsidP="0046784B">
      <w:pPr>
        <w:numPr>
          <w:ilvl w:val="3"/>
          <w:numId w:val="15"/>
        </w:numPr>
        <w:spacing w:before="120" w:after="120"/>
        <w:jc w:val="both"/>
        <w:rPr>
          <w:rFonts w:ascii="Bookman Old Style" w:hAnsi="Bookman Old Style"/>
        </w:rPr>
      </w:pPr>
      <w:r w:rsidRPr="00412E43">
        <w:rPr>
          <w:rFonts w:ascii="Bookman Old Style" w:eastAsia="Bookman Old Style" w:hAnsi="Bookman Old Style" w:cs="Bookman Old Style"/>
          <w:i/>
        </w:rPr>
        <w:t>Compensatória de 10% (dez por cento) sobre o valor do contrato, no caso de inexecução total do contrato.</w:t>
      </w:r>
    </w:p>
    <w:p w:rsidR="0046784B" w:rsidRPr="00412E43" w:rsidRDefault="0046784B" w:rsidP="0046784B">
      <w:pPr>
        <w:numPr>
          <w:ilvl w:val="4"/>
          <w:numId w:val="17"/>
        </w:numPr>
        <w:spacing w:before="120" w:after="120"/>
        <w:jc w:val="both"/>
        <w:rPr>
          <w:rFonts w:ascii="Bookman Old Style" w:hAnsi="Bookman Old Style"/>
        </w:rPr>
      </w:pPr>
      <w:r w:rsidRPr="00412E43">
        <w:rPr>
          <w:rFonts w:ascii="Bookman Old Style" w:eastAsia="Bookman Old Style" w:hAnsi="Bookman Old Style" w:cs="Bookman Old Style"/>
          <w:i/>
        </w:rPr>
        <w:t xml:space="preserve">O atraso superior a 10(dez) dias autoriza a Administração a promover a rescisão do contrato por descumprimento ou cumprimento irregular de suas cláusulas, conforme dispõe o inciso I do art. 137 da Lei n. 14.133, de 2021. </w:t>
      </w:r>
    </w:p>
    <w:p w:rsidR="0046784B" w:rsidRPr="00412E43" w:rsidRDefault="0046784B" w:rsidP="0046784B">
      <w:pPr>
        <w:numPr>
          <w:ilvl w:val="1"/>
          <w:numId w:val="5"/>
        </w:numPr>
        <w:spacing w:before="120" w:after="120"/>
        <w:jc w:val="both"/>
        <w:rPr>
          <w:rFonts w:ascii="Bookman Old Style" w:hAnsi="Bookman Old Style"/>
        </w:rPr>
      </w:pPr>
      <w:bookmarkStart w:id="0" w:name="_Hlk78351618"/>
      <w:bookmarkEnd w:id="0"/>
      <w:r w:rsidRPr="00412E43">
        <w:rPr>
          <w:rFonts w:ascii="Bookman Old Style" w:eastAsia="Bookman Old Style" w:hAnsi="Bookman Old Style" w:cs="Bookman Old Style"/>
        </w:rPr>
        <w:t>A aplicação das sanções previstas neste Contrato não exclui, em hipótese alguma, a obrigação de reparação integral do dano causado ao Contratante (art. 156, §9º)</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Todas as sanções previstas neste Contrato poderão ser aplicadas cumulativamente com a multa (art. 156, §7º).</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Antes da aplicação da multa será facultada a defesa do interessado no prazo de 15 (quinze) dias úteis, contado da data de sua intimação (art. 157)</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Previamente ao encaminhamento à cobrança judicial, a multa poderá ser recolhida administrativamente no prazo máximo de </w:t>
      </w:r>
      <w:r w:rsidRPr="00412E43">
        <w:rPr>
          <w:rFonts w:ascii="Bookman Old Style" w:eastAsia="Bookman Old Style" w:hAnsi="Bookman Old Style" w:cs="Bookman Old Style"/>
          <w:i/>
        </w:rPr>
        <w:t xml:space="preserve">05 (cinco) </w:t>
      </w:r>
      <w:r w:rsidRPr="00412E43">
        <w:rPr>
          <w:rFonts w:ascii="Bookman Old Style" w:eastAsia="Bookman Old Style" w:hAnsi="Bookman Old Style" w:cs="Bookman Old Style"/>
        </w:rPr>
        <w:t>dias, a contar da data do recebimento da comunicação enviada pela autoridade competente.</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A aplicação das sanções realizar-se-á em processo administrativo que assegure o contraditório e a ampla defesa ao Contratado, observando-se o procedimento previsto no </w:t>
      </w:r>
      <w:r w:rsidRPr="00412E43">
        <w:rPr>
          <w:rFonts w:ascii="Bookman Old Style" w:eastAsia="Bookman Old Style" w:hAnsi="Bookman Old Style" w:cs="Bookman Old Style"/>
          <w:b/>
        </w:rPr>
        <w:t xml:space="preserve">caput </w:t>
      </w:r>
      <w:r w:rsidRPr="00412E43">
        <w:rPr>
          <w:rFonts w:ascii="Bookman Old Style" w:eastAsia="Bookman Old Style" w:hAnsi="Bookman Old Style" w:cs="Bookman Old Style"/>
        </w:rPr>
        <w:t>e parágrafos do art. 158 da Lei nº 14.133, de 2021, para as penalidades de impedimento de licitar e contratar e de declaração de inidoneidade para licitar ou contratar.</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Na aplicação das sanções serão considerados (art. 156, §1º</w:t>
      </w:r>
      <w:proofErr w:type="gramStart"/>
      <w:r w:rsidRPr="00412E43">
        <w:rPr>
          <w:rFonts w:ascii="Bookman Old Style" w:eastAsia="Bookman Old Style" w:hAnsi="Bookman Old Style" w:cs="Bookman Old Style"/>
        </w:rPr>
        <w:t>) :</w:t>
      </w:r>
      <w:proofErr w:type="gramEnd"/>
    </w:p>
    <w:p w:rsidR="0046784B" w:rsidRPr="00412E43" w:rsidRDefault="0046784B" w:rsidP="0046784B">
      <w:pPr>
        <w:numPr>
          <w:ilvl w:val="0"/>
          <w:numId w:val="21"/>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w:t>
      </w:r>
      <w:proofErr w:type="gramEnd"/>
      <w:r w:rsidRPr="00412E43">
        <w:rPr>
          <w:rFonts w:ascii="Bookman Old Style" w:eastAsia="Bookman Old Style" w:hAnsi="Bookman Old Style" w:cs="Bookman Old Style"/>
        </w:rPr>
        <w:t xml:space="preserve"> natureza e a gravidade da infração cometida;</w:t>
      </w:r>
    </w:p>
    <w:p w:rsidR="0046784B" w:rsidRPr="00412E43" w:rsidRDefault="0046784B" w:rsidP="0046784B">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as</w:t>
      </w:r>
      <w:proofErr w:type="gramEnd"/>
      <w:r w:rsidRPr="00412E43">
        <w:rPr>
          <w:rFonts w:ascii="Bookman Old Style" w:eastAsia="Bookman Old Style" w:hAnsi="Bookman Old Style" w:cs="Bookman Old Style"/>
        </w:rPr>
        <w:t xml:space="preserve"> peculiaridades do caso concreto;</w:t>
      </w:r>
    </w:p>
    <w:p w:rsidR="0046784B" w:rsidRPr="00412E43" w:rsidRDefault="0046784B" w:rsidP="0046784B">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as</w:t>
      </w:r>
      <w:proofErr w:type="gramEnd"/>
      <w:r w:rsidRPr="00412E43">
        <w:rPr>
          <w:rFonts w:ascii="Bookman Old Style" w:eastAsia="Bookman Old Style" w:hAnsi="Bookman Old Style" w:cs="Bookman Old Style"/>
        </w:rPr>
        <w:t xml:space="preserve"> circunstâncias agravantes ou atenuantes;</w:t>
      </w:r>
    </w:p>
    <w:p w:rsidR="0046784B" w:rsidRPr="00412E43" w:rsidRDefault="0046784B" w:rsidP="0046784B">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os</w:t>
      </w:r>
      <w:proofErr w:type="gramEnd"/>
      <w:r w:rsidRPr="00412E43">
        <w:rPr>
          <w:rFonts w:ascii="Bookman Old Style" w:eastAsia="Bookman Old Style" w:hAnsi="Bookman Old Style" w:cs="Bookman Old Style"/>
        </w:rPr>
        <w:t xml:space="preserve"> danos que dela provierem para o Contratante;</w:t>
      </w:r>
    </w:p>
    <w:p w:rsidR="0046784B" w:rsidRPr="00412E43" w:rsidRDefault="0046784B" w:rsidP="0046784B">
      <w:pPr>
        <w:numPr>
          <w:ilvl w:val="0"/>
          <w:numId w:val="20"/>
        </w:numPr>
        <w:spacing w:before="120" w:after="120"/>
        <w:jc w:val="both"/>
        <w:rPr>
          <w:rFonts w:ascii="Bookman Old Style" w:hAnsi="Bookman Old Style"/>
        </w:rPr>
      </w:pPr>
      <w:proofErr w:type="gramStart"/>
      <w:r w:rsidRPr="00412E43">
        <w:rPr>
          <w:rFonts w:ascii="Bookman Old Style" w:eastAsia="Bookman Old Style" w:hAnsi="Bookman Old Style" w:cs="Bookman Old Style"/>
        </w:rPr>
        <w:t>a</w:t>
      </w:r>
      <w:proofErr w:type="gramEnd"/>
      <w:r w:rsidRPr="00412E43">
        <w:rPr>
          <w:rFonts w:ascii="Bookman Old Style" w:eastAsia="Bookman Old Style" w:hAnsi="Bookman Old Style" w:cs="Bookman Old Style"/>
        </w:rPr>
        <w:t xml:space="preserve"> implantação ou o aperfeiçoamento de programa de integridade, conforme normas e orientações dos órgãos de controle.</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412E43">
        <w:rPr>
          <w:rFonts w:ascii="Bookman Old Style" w:eastAsia="Bookman Old Style" w:hAnsi="Bookman Old Style" w:cs="Bookman Old Style"/>
        </w:rPr>
        <w:t>Ceis</w:t>
      </w:r>
      <w:proofErr w:type="spellEnd"/>
      <w:r w:rsidRPr="00412E43">
        <w:rPr>
          <w:rFonts w:ascii="Bookman Old Style" w:eastAsia="Bookman Old Style" w:hAnsi="Bookman Old Style" w:cs="Bookman Old Style"/>
        </w:rPr>
        <w:t>) e no Cadastro Nacional de Empresas Punidas (</w:t>
      </w:r>
      <w:proofErr w:type="spellStart"/>
      <w:r w:rsidRPr="00412E43">
        <w:rPr>
          <w:rFonts w:ascii="Bookman Old Style" w:eastAsia="Bookman Old Style" w:hAnsi="Bookman Old Style" w:cs="Bookman Old Style"/>
        </w:rPr>
        <w:t>Cnep</w:t>
      </w:r>
      <w:proofErr w:type="spellEnd"/>
      <w:r w:rsidRPr="00412E43">
        <w:rPr>
          <w:rFonts w:ascii="Bookman Old Style" w:eastAsia="Bookman Old Style" w:hAnsi="Bookman Old Style" w:cs="Bookman Old Style"/>
        </w:rPr>
        <w:t>), instituídos no âmbito do Poder Executivo Federal. (Art. 161)</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As sanções de impedimento de licitar e contratar e declaração de inidoneidade para licitar ou contratar são passíveis de reabilitação na forma do art. 163 da Lei nº 14.133/21.</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lastRenderedPageBreak/>
        <w:t>CLÁUSULA DÉCIMA– DA EXTINÇÃO CONTRATUAL (art. 92, XIX)</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 contrato se extingue quando cumpridas as obrigações de ambas as partes, ainda que isso ocorra antes do prazo estipulado para tanto.</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Se as obrigações não forem cumpridas no prazo estipulado, a vigência ficará prorrogada até a conclusão do objeto, caso em que deverá a Administração providenciar a readequação do cronograma fixado para o contrato.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Quando a não conclusão do contrato referida no item anterior decorrer de culpa do contratado:</w:t>
      </w:r>
    </w:p>
    <w:p w:rsidR="0046784B" w:rsidRPr="00412E43" w:rsidRDefault="0046784B" w:rsidP="0046784B">
      <w:pPr>
        <w:numPr>
          <w:ilvl w:val="0"/>
          <w:numId w:val="19"/>
        </w:numPr>
        <w:spacing w:after="165"/>
        <w:jc w:val="both"/>
        <w:rPr>
          <w:rFonts w:ascii="Bookman Old Style" w:hAnsi="Bookman Old Style"/>
        </w:rPr>
      </w:pPr>
      <w:proofErr w:type="gramStart"/>
      <w:r w:rsidRPr="00412E43">
        <w:rPr>
          <w:rFonts w:ascii="Bookman Old Style" w:eastAsia="Bookman Old Style" w:hAnsi="Bookman Old Style" w:cs="Bookman Old Style"/>
        </w:rPr>
        <w:t>ficará</w:t>
      </w:r>
      <w:proofErr w:type="gramEnd"/>
      <w:r w:rsidRPr="00412E43">
        <w:rPr>
          <w:rFonts w:ascii="Bookman Old Style" w:eastAsia="Bookman Old Style" w:hAnsi="Bookman Old Style" w:cs="Bookman Old Style"/>
        </w:rPr>
        <w:t xml:space="preserve"> ele constituído em mora, sendo-lhe aplicáveis as respectivas sanções administrativas; e  </w:t>
      </w:r>
    </w:p>
    <w:p w:rsidR="0046784B" w:rsidRPr="00412E43" w:rsidRDefault="0046784B" w:rsidP="0046784B">
      <w:pPr>
        <w:numPr>
          <w:ilvl w:val="0"/>
          <w:numId w:val="18"/>
        </w:numPr>
        <w:spacing w:after="165"/>
        <w:jc w:val="both"/>
        <w:rPr>
          <w:rFonts w:ascii="Bookman Old Style" w:hAnsi="Bookman Old Style"/>
        </w:rPr>
      </w:pPr>
      <w:proofErr w:type="gramStart"/>
      <w:r w:rsidRPr="00412E43">
        <w:rPr>
          <w:rFonts w:ascii="Bookman Old Style" w:eastAsia="Bookman Old Style" w:hAnsi="Bookman Old Style" w:cs="Bookman Old Style"/>
        </w:rPr>
        <w:t>poderá</w:t>
      </w:r>
      <w:proofErr w:type="gramEnd"/>
      <w:r w:rsidRPr="00412E43">
        <w:rPr>
          <w:rFonts w:ascii="Bookman Old Style" w:eastAsia="Bookman Old Style" w:hAnsi="Bookman Old Style" w:cs="Bookman Old Style"/>
        </w:rPr>
        <w:t xml:space="preserve"> a Administração optar pela extinção do contrato e, nesse caso, adotará as medidas admitidas em lei para a continuidade da execução contratual.</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O contrato pode ser extinto antes de cumpridas as obrigações nele estipuladas, ou antes do prazo nele fixado, por algum dos motivos previstos no artigo 137 da Lei nº 14.133/21, bem como amigavelmente, </w:t>
      </w:r>
      <w:r w:rsidRPr="00412E43">
        <w:rPr>
          <w:rFonts w:ascii="Bookman Old Style" w:eastAsia="Bookman Old Style" w:hAnsi="Bookman Old Style" w:cs="Bookman Old Style"/>
          <w:color w:val="000000"/>
        </w:rPr>
        <w:t>assegurados o contraditório e a ampla defesa</w:t>
      </w:r>
      <w:r w:rsidRPr="00412E43">
        <w:rPr>
          <w:rFonts w:ascii="Bookman Old Style" w:eastAsia="Times New Roman" w:hAnsi="Bookman Old Style" w:cs="Times New Roman"/>
        </w:rPr>
        <w:t>.</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Nesta hipótese, aplicam-se também os artigos 138 e 139 da mesma Lei.</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A </w:t>
      </w:r>
      <w:r w:rsidRPr="00412E43">
        <w:rPr>
          <w:rFonts w:ascii="Bookman Old Style" w:eastAsia="Bookman Old Style" w:hAnsi="Bookman Old Style" w:cs="Bookman Old Style"/>
          <w:color w:val="000000"/>
        </w:rPr>
        <w:t>alteração social ou a modificação da finalidade ou da estrutura da empresa</w:t>
      </w:r>
      <w:r w:rsidRPr="00412E43">
        <w:rPr>
          <w:rFonts w:ascii="Bookman Old Style" w:eastAsia="Bookman Old Style" w:hAnsi="Bookman Old Style" w:cs="Bookman Old Style"/>
        </w:rPr>
        <w:t xml:space="preserve"> não ensejará a rescisão se não </w:t>
      </w:r>
      <w:r w:rsidRPr="00412E43">
        <w:rPr>
          <w:rFonts w:ascii="Bookman Old Style" w:eastAsia="Bookman Old Style" w:hAnsi="Bookman Old Style" w:cs="Bookman Old Style"/>
          <w:color w:val="000000"/>
        </w:rPr>
        <w:t>restringir sua capacidade de concluir o contrato.</w:t>
      </w:r>
    </w:p>
    <w:p w:rsidR="0046784B" w:rsidRPr="00412E43" w:rsidRDefault="0046784B" w:rsidP="0046784B">
      <w:pPr>
        <w:numPr>
          <w:ilvl w:val="3"/>
          <w:numId w:val="13"/>
        </w:numPr>
        <w:spacing w:before="120" w:after="120"/>
        <w:jc w:val="both"/>
        <w:rPr>
          <w:rFonts w:ascii="Bookman Old Style" w:hAnsi="Bookman Old Style"/>
        </w:rPr>
      </w:pPr>
      <w:r w:rsidRPr="00412E43">
        <w:rPr>
          <w:rFonts w:ascii="Bookman Old Style" w:eastAsia="Bookman Old Style" w:hAnsi="Bookman Old Style" w:cs="Bookman Old Style"/>
          <w:color w:val="000000"/>
        </w:rPr>
        <w:t xml:space="preserve">Se a operação </w:t>
      </w:r>
      <w:r w:rsidRPr="00412E43">
        <w:rPr>
          <w:rFonts w:ascii="Bookman Old Style" w:eastAsia="Bookman Old Style" w:hAnsi="Bookman Old Style" w:cs="Bookman Old Style"/>
        </w:rPr>
        <w:t>implicar mudança da pessoa jurídica contratada, deverá ser formalizado termo aditivo para alteração subjetiva.</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 termo de rescisão, sempre que possível, será precedido:</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Balanço dos eventos contratuais já cumpridos ou parcialmente cumpridos;</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Relação dos pagamentos já efetuados e ainda devidos;</w:t>
      </w:r>
    </w:p>
    <w:p w:rsidR="0046784B" w:rsidRPr="00412E43" w:rsidRDefault="0046784B" w:rsidP="0046784B">
      <w:pPr>
        <w:numPr>
          <w:ilvl w:val="2"/>
          <w:numId w:val="5"/>
        </w:numPr>
        <w:spacing w:before="120" w:after="120"/>
        <w:jc w:val="both"/>
        <w:rPr>
          <w:rFonts w:ascii="Bookman Old Style" w:hAnsi="Bookman Old Style"/>
        </w:rPr>
      </w:pPr>
      <w:r w:rsidRPr="00412E43">
        <w:rPr>
          <w:rFonts w:ascii="Bookman Old Style" w:eastAsia="Bookman Old Style" w:hAnsi="Bookman Old Style" w:cs="Bookman Old Style"/>
        </w:rPr>
        <w:t>Indenizações e multas.</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CLÁUSULA DÉCIMA PRIMEIRA – DOTAÇÃO ORÇAMENTÁRIA (art. 92, VIII)</w:t>
      </w:r>
    </w:p>
    <w:p w:rsidR="0046784B" w:rsidRPr="00412E43" w:rsidRDefault="0046784B" w:rsidP="0046784B">
      <w:pPr>
        <w:numPr>
          <w:ilvl w:val="1"/>
          <w:numId w:val="14"/>
        </w:numPr>
        <w:spacing w:before="120" w:after="120"/>
        <w:jc w:val="both"/>
        <w:rPr>
          <w:rFonts w:ascii="Bookman Old Style" w:hAnsi="Bookman Old Style"/>
        </w:rPr>
      </w:pPr>
      <w:r w:rsidRPr="00412E43">
        <w:rPr>
          <w:rFonts w:ascii="Bookman Old Style" w:eastAsia="Bookman Old Style" w:hAnsi="Bookman Old Style" w:cs="Bookman Old Style"/>
        </w:rPr>
        <w:t xml:space="preserve">As despesas decorrentes da presente contratação correrão à conta de recursos específicos consignados no Orçamento da </w:t>
      </w:r>
      <w:r w:rsidRPr="00412E43">
        <w:rPr>
          <w:rFonts w:ascii="Bookman Old Style" w:eastAsia="Bookman Old Style" w:hAnsi="Bookman Old Style" w:cs="Bookman Old Style"/>
          <w:color w:val="000000"/>
        </w:rPr>
        <w:t xml:space="preserve">GABINETE DA SECRETARIA DE SAUDE </w:t>
      </w:r>
      <w:r w:rsidRPr="00412E43">
        <w:rPr>
          <w:rFonts w:ascii="Bookman Old Style" w:eastAsia="Bookman Old Style" w:hAnsi="Bookman Old Style" w:cs="Bookman Old Style"/>
        </w:rPr>
        <w:t>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2"/>
        <w:gridCol w:w="1434"/>
        <w:gridCol w:w="2150"/>
        <w:gridCol w:w="1434"/>
        <w:gridCol w:w="1720"/>
        <w:gridCol w:w="1280"/>
      </w:tblGrid>
      <w:tr w:rsidR="0046784B" w:rsidRPr="009701C8" w:rsidTr="002A1C80">
        <w:tc>
          <w:tcPr>
            <w:tcW w:w="9622" w:type="dxa"/>
            <w:gridSpan w:val="6"/>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Dotações</w:t>
            </w:r>
          </w:p>
        </w:tc>
      </w:tr>
      <w:tr w:rsidR="0046784B" w:rsidRPr="009701C8" w:rsidTr="002A1C80">
        <w:tc>
          <w:tcPr>
            <w:tcW w:w="1693" w:type="dxa"/>
            <w:shd w:val="clear" w:color="auto" w:fill="C0C0C0"/>
          </w:tcPr>
          <w:p w:rsidR="0046784B" w:rsidRPr="009701C8" w:rsidRDefault="0046784B" w:rsidP="002A1C80">
            <w:pPr>
              <w:rPr>
                <w:rFonts w:ascii="Bookman Old Style" w:hAnsi="Bookman Old Style"/>
                <w:sz w:val="16"/>
              </w:rPr>
            </w:pPr>
            <w:r w:rsidRPr="009701C8">
              <w:rPr>
                <w:rFonts w:ascii="Bookman Old Style" w:hAnsi="Bookman Old Style"/>
                <w:sz w:val="16"/>
              </w:rPr>
              <w:t>Exercício da despesa</w:t>
            </w:r>
          </w:p>
        </w:tc>
        <w:tc>
          <w:tcPr>
            <w:tcW w:w="1418" w:type="dxa"/>
            <w:shd w:val="clear" w:color="auto" w:fill="C0C0C0"/>
          </w:tcPr>
          <w:p w:rsidR="0046784B" w:rsidRPr="009701C8" w:rsidRDefault="0046784B" w:rsidP="002A1C80">
            <w:pPr>
              <w:rPr>
                <w:rFonts w:ascii="Bookman Old Style" w:hAnsi="Bookman Old Style"/>
                <w:sz w:val="16"/>
              </w:rPr>
            </w:pPr>
            <w:r w:rsidRPr="009701C8">
              <w:rPr>
                <w:rFonts w:ascii="Bookman Old Style" w:hAnsi="Bookman Old Style"/>
                <w:sz w:val="16"/>
              </w:rPr>
              <w:t>Conta da despesa</w:t>
            </w:r>
          </w:p>
        </w:tc>
        <w:tc>
          <w:tcPr>
            <w:tcW w:w="2126" w:type="dxa"/>
            <w:shd w:val="clear" w:color="auto" w:fill="C0C0C0"/>
          </w:tcPr>
          <w:p w:rsidR="0046784B" w:rsidRPr="009701C8" w:rsidRDefault="0046784B" w:rsidP="002A1C80">
            <w:pPr>
              <w:rPr>
                <w:rFonts w:ascii="Bookman Old Style" w:hAnsi="Bookman Old Style"/>
                <w:sz w:val="16"/>
              </w:rPr>
            </w:pPr>
            <w:r w:rsidRPr="009701C8">
              <w:rPr>
                <w:rFonts w:ascii="Bookman Old Style" w:hAnsi="Bookman Old Style"/>
                <w:sz w:val="16"/>
              </w:rPr>
              <w:t>Funcional programática</w:t>
            </w:r>
          </w:p>
        </w:tc>
        <w:tc>
          <w:tcPr>
            <w:tcW w:w="1418" w:type="dxa"/>
            <w:shd w:val="clear" w:color="auto" w:fill="C0C0C0"/>
          </w:tcPr>
          <w:p w:rsidR="0046784B" w:rsidRPr="009701C8" w:rsidRDefault="0046784B" w:rsidP="002A1C80">
            <w:pPr>
              <w:rPr>
                <w:rFonts w:ascii="Bookman Old Style" w:hAnsi="Bookman Old Style"/>
                <w:sz w:val="16"/>
              </w:rPr>
            </w:pPr>
            <w:r w:rsidRPr="009701C8">
              <w:rPr>
                <w:rFonts w:ascii="Bookman Old Style" w:hAnsi="Bookman Old Style"/>
                <w:sz w:val="16"/>
              </w:rPr>
              <w:t>Fonte de recurso</w:t>
            </w:r>
          </w:p>
        </w:tc>
        <w:tc>
          <w:tcPr>
            <w:tcW w:w="1701" w:type="dxa"/>
            <w:shd w:val="clear" w:color="auto" w:fill="C0C0C0"/>
          </w:tcPr>
          <w:p w:rsidR="0046784B" w:rsidRPr="009701C8" w:rsidRDefault="0046784B" w:rsidP="002A1C80">
            <w:pPr>
              <w:rPr>
                <w:rFonts w:ascii="Bookman Old Style" w:hAnsi="Bookman Old Style"/>
                <w:sz w:val="16"/>
              </w:rPr>
            </w:pPr>
            <w:r w:rsidRPr="009701C8">
              <w:rPr>
                <w:rFonts w:ascii="Bookman Old Style" w:hAnsi="Bookman Old Style"/>
                <w:sz w:val="16"/>
              </w:rPr>
              <w:t>Natureza da despesa</w:t>
            </w:r>
          </w:p>
        </w:tc>
        <w:tc>
          <w:tcPr>
            <w:tcW w:w="1266" w:type="dxa"/>
            <w:shd w:val="clear" w:color="auto" w:fill="C0C0C0"/>
          </w:tcPr>
          <w:p w:rsidR="0046784B" w:rsidRPr="009701C8" w:rsidRDefault="0046784B" w:rsidP="002A1C80">
            <w:pPr>
              <w:rPr>
                <w:rFonts w:ascii="Bookman Old Style" w:hAnsi="Bookman Old Style"/>
                <w:sz w:val="16"/>
              </w:rPr>
            </w:pPr>
            <w:r w:rsidRPr="009701C8">
              <w:rPr>
                <w:rFonts w:ascii="Bookman Old Style" w:hAnsi="Bookman Old Style"/>
                <w:sz w:val="16"/>
              </w:rPr>
              <w:t>Grupo da fonte</w:t>
            </w:r>
          </w:p>
        </w:tc>
      </w:tr>
      <w:tr w:rsidR="0046784B" w:rsidRPr="009701C8" w:rsidTr="002A1C80">
        <w:tc>
          <w:tcPr>
            <w:tcW w:w="1693" w:type="dxa"/>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2024</w:t>
            </w:r>
          </w:p>
        </w:tc>
        <w:tc>
          <w:tcPr>
            <w:tcW w:w="1418" w:type="dxa"/>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3090</w:t>
            </w:r>
          </w:p>
        </w:tc>
        <w:tc>
          <w:tcPr>
            <w:tcW w:w="2126" w:type="dxa"/>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08.001.10.301.1001.2040</w:t>
            </w:r>
          </w:p>
        </w:tc>
        <w:tc>
          <w:tcPr>
            <w:tcW w:w="1418" w:type="dxa"/>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518</w:t>
            </w:r>
          </w:p>
        </w:tc>
        <w:tc>
          <w:tcPr>
            <w:tcW w:w="1701" w:type="dxa"/>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4.4.90.52.00.00</w:t>
            </w:r>
          </w:p>
        </w:tc>
        <w:tc>
          <w:tcPr>
            <w:tcW w:w="1266" w:type="dxa"/>
            <w:shd w:val="clear" w:color="auto" w:fill="FFFFFF"/>
          </w:tcPr>
          <w:p w:rsidR="0046784B" w:rsidRPr="009701C8" w:rsidRDefault="0046784B" w:rsidP="002A1C80">
            <w:pPr>
              <w:rPr>
                <w:rFonts w:ascii="Bookman Old Style" w:hAnsi="Bookman Old Style"/>
                <w:sz w:val="16"/>
              </w:rPr>
            </w:pPr>
            <w:r w:rsidRPr="009701C8">
              <w:rPr>
                <w:rFonts w:ascii="Bookman Old Style" w:hAnsi="Bookman Old Style"/>
                <w:sz w:val="16"/>
              </w:rPr>
              <w:t>Do Exercício</w:t>
            </w:r>
          </w:p>
        </w:tc>
      </w:tr>
    </w:tbl>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color w:val="000000"/>
        </w:rPr>
        <w:t xml:space="preserve">CLÁUSULA DÉCIMA SEGUNDA – DOS CASOS OMISSOS (art. 92, III) </w:t>
      </w:r>
      <w:r w:rsidRPr="00412E43">
        <w:rPr>
          <w:rFonts w:ascii="Bookman Old Style" w:eastAsia="Bookman Old Style" w:hAnsi="Bookman Old Style" w:cs="Bookman Old Style"/>
          <w:b/>
        </w:rPr>
        <w:t>CASOS OMISSOS (art. 92, III)</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TERCEIRA – ALTERAÇÕES</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Eventuais alterações contratuais reger-se-ão pela disciplina dos </w:t>
      </w:r>
      <w:proofErr w:type="spellStart"/>
      <w:r w:rsidRPr="00412E43">
        <w:rPr>
          <w:rFonts w:ascii="Bookman Old Style" w:eastAsia="Bookman Old Style" w:hAnsi="Bookman Old Style" w:cs="Bookman Old Style"/>
        </w:rPr>
        <w:t>arts</w:t>
      </w:r>
      <w:proofErr w:type="spellEnd"/>
      <w:r w:rsidRPr="00412E43">
        <w:rPr>
          <w:rFonts w:ascii="Bookman Old Style" w:eastAsia="Bookman Old Style" w:hAnsi="Bookman Old Style" w:cs="Bookman Old Style"/>
        </w:rPr>
        <w:t>. 124 e seguintes da Lei nº 14.133, de 2021.</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O Contratado é obrigado a aceitar, nas mesmas condições contratuais, os acréscimos ou supressões que se fizerem necessários, até o limite de 25% (vinte e cinco por cento) do valor inicial atualizado do contrato.</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Registros que não caracterizam alteração do contrato podem ser realizados por simples </w:t>
      </w:r>
      <w:r w:rsidRPr="00412E43">
        <w:rPr>
          <w:rFonts w:ascii="Bookman Old Style" w:eastAsia="Bookman Old Style" w:hAnsi="Bookman Old Style" w:cs="Bookman Old Style"/>
        </w:rPr>
        <w:lastRenderedPageBreak/>
        <w:t>apostila, dispensada a celebração de termo aditivo, na forma do art. 136 da Lei nº 14.133, de 2021.</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QUARTA – PUBLICAÇÃO</w:t>
      </w:r>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Incumbirá ao Contratante providenciar a publicação deste instrumento nos termos e condições previstas na Lei nº 14.133/21.</w:t>
      </w:r>
    </w:p>
    <w:p w:rsidR="0046784B" w:rsidRPr="00412E43" w:rsidRDefault="0046784B" w:rsidP="0046784B">
      <w:pPr>
        <w:numPr>
          <w:ilvl w:val="0"/>
          <w:numId w:val="5"/>
        </w:numPr>
        <w:tabs>
          <w:tab w:val="left" w:pos="570"/>
        </w:tabs>
        <w:spacing w:before="240"/>
        <w:jc w:val="both"/>
        <w:outlineLvl w:val="0"/>
        <w:rPr>
          <w:rFonts w:ascii="Bookman Old Style" w:hAnsi="Bookman Old Style"/>
        </w:rPr>
      </w:pPr>
      <w:r w:rsidRPr="00412E43">
        <w:rPr>
          <w:rFonts w:ascii="Bookman Old Style" w:eastAsia="Bookman Old Style" w:hAnsi="Bookman Old Style" w:cs="Bookman Old Style"/>
          <w:b/>
        </w:rPr>
        <w:t>CLÁUSULA DÉCIMA QUINTA – FORO (art. 92, §1º)</w:t>
      </w:r>
      <w:bookmarkStart w:id="1" w:name="_GoBack"/>
      <w:bookmarkEnd w:id="1"/>
    </w:p>
    <w:p w:rsidR="0046784B" w:rsidRPr="00412E43" w:rsidRDefault="0046784B" w:rsidP="0046784B">
      <w:pPr>
        <w:numPr>
          <w:ilvl w:val="1"/>
          <w:numId w:val="5"/>
        </w:numPr>
        <w:spacing w:before="120" w:after="120"/>
        <w:jc w:val="both"/>
        <w:rPr>
          <w:rFonts w:ascii="Bookman Old Style" w:hAnsi="Bookman Old Style"/>
        </w:rPr>
      </w:pPr>
      <w:r w:rsidRPr="00412E43">
        <w:rPr>
          <w:rFonts w:ascii="Bookman Old Style" w:eastAsia="Bookman Old Style" w:hAnsi="Bookman Old Style" w:cs="Bookman Old Style"/>
        </w:rPr>
        <w:t xml:space="preserve"> É eleito o Foro da Comarca de Santo Antonio do Sudoeste – PR, para dirimir os litígios que decorrerem da execução deste Termo de Contrato que não possam ser compostos pela conciliação, conforme art. 92, §1º da Lei nº 14.133/21.</w:t>
      </w:r>
    </w:p>
    <w:p w:rsidR="0046784B" w:rsidRPr="00412E43" w:rsidRDefault="0046784B" w:rsidP="0046784B">
      <w:pPr>
        <w:spacing w:after="120"/>
        <w:ind w:right="-15"/>
        <w:jc w:val="both"/>
        <w:rPr>
          <w:rFonts w:ascii="Bookman Old Style" w:hAnsi="Bookman Old Style"/>
        </w:rPr>
      </w:pPr>
      <w:r>
        <w:rPr>
          <w:rFonts w:ascii="Bookman Old Style" w:eastAsia="Bookman Old Style" w:hAnsi="Bookman Old Style" w:cs="Bookman Old Style"/>
        </w:rPr>
        <w:t>Santo Antonio do Sudoeste – PR, 02 de fevereiro</w:t>
      </w:r>
      <w:r w:rsidRPr="00412E43">
        <w:rPr>
          <w:rFonts w:ascii="Bookman Old Style" w:eastAsia="Bookman Old Style" w:hAnsi="Bookman Old Style" w:cs="Bookman Old Style"/>
        </w:rPr>
        <w:t xml:space="preserve"> de 2024</w:t>
      </w:r>
      <w:r>
        <w:rPr>
          <w:rFonts w:ascii="Bookman Old Style" w:eastAsia="Bookman Old Style" w:hAnsi="Bookman Old Style" w:cs="Bookman Old Style"/>
        </w:rPr>
        <w:t>.</w:t>
      </w:r>
    </w:p>
    <w:p w:rsidR="0046784B" w:rsidRDefault="0046784B" w:rsidP="0046784B">
      <w:pPr>
        <w:spacing w:after="120"/>
        <w:jc w:val="both"/>
        <w:rPr>
          <w:rFonts w:ascii="Bookman Old Style" w:hAnsi="Bookman Old Style"/>
        </w:rPr>
      </w:pPr>
    </w:p>
    <w:p w:rsidR="0046784B" w:rsidRPr="00412E43" w:rsidRDefault="0046784B" w:rsidP="0046784B">
      <w:pPr>
        <w:spacing w:after="120"/>
        <w:jc w:val="both"/>
        <w:rPr>
          <w:rFonts w:ascii="Bookman Old Style" w:hAnsi="Bookman Old Style"/>
        </w:rPr>
      </w:pPr>
    </w:p>
    <w:p w:rsidR="0046784B" w:rsidRPr="00412E43" w:rsidRDefault="0046784B" w:rsidP="0046784B">
      <w:pPr>
        <w:rPr>
          <w:rFonts w:ascii="Bookman Old Style" w:hAnsi="Bookman Old Style"/>
        </w:rPr>
      </w:pPr>
    </w:p>
    <w:p w:rsidR="0046784B" w:rsidRDefault="0046784B" w:rsidP="0046784B">
      <w:pPr>
        <w:pStyle w:val="ParagraphStyle"/>
        <w:jc w:val="center"/>
        <w:rPr>
          <w:rFonts w:ascii="Bookman Old Style" w:hAnsi="Bookman Old Style" w:cs="Bookman Old Style"/>
          <w:b/>
          <w:bCs/>
          <w:color w:val="000000"/>
          <w:sz w:val="20"/>
          <w:szCs w:val="20"/>
        </w:rPr>
      </w:pPr>
      <w:r>
        <w:rPr>
          <w:rFonts w:ascii="Bookman Old Style" w:hAnsi="Bookman Old Style" w:cs="Bookman Old Style"/>
          <w:b/>
          <w:bCs/>
          <w:color w:val="000000"/>
          <w:sz w:val="20"/>
          <w:szCs w:val="20"/>
        </w:rPr>
        <w:t>RICARDO ANTONIO ORTINA</w:t>
      </w:r>
    </w:p>
    <w:p w:rsidR="0046784B" w:rsidRDefault="0046784B" w:rsidP="0046784B">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 xml:space="preserve">Prefeito Municipal </w:t>
      </w:r>
    </w:p>
    <w:p w:rsidR="0046784B" w:rsidRDefault="0046784B" w:rsidP="0046784B">
      <w:pPr>
        <w:pStyle w:val="ParagraphStyle"/>
        <w:tabs>
          <w:tab w:val="left" w:pos="6810"/>
        </w:tabs>
        <w:ind w:firstLine="855"/>
        <w:jc w:val="center"/>
        <w:rPr>
          <w:rFonts w:ascii="Bookman Old Style" w:hAnsi="Bookman Old Style" w:cs="Bookman Old Style"/>
          <w:sz w:val="20"/>
          <w:szCs w:val="20"/>
        </w:rPr>
      </w:pPr>
    </w:p>
    <w:p w:rsidR="0046784B" w:rsidRDefault="0046784B" w:rsidP="0046784B">
      <w:pPr>
        <w:pStyle w:val="ParagraphStyle"/>
        <w:tabs>
          <w:tab w:val="left" w:pos="6810"/>
        </w:tabs>
        <w:ind w:firstLine="855"/>
        <w:jc w:val="center"/>
        <w:rPr>
          <w:rFonts w:ascii="Bookman Old Style" w:hAnsi="Bookman Old Style" w:cs="Bookman Old Style"/>
          <w:sz w:val="20"/>
          <w:szCs w:val="20"/>
        </w:rPr>
      </w:pPr>
    </w:p>
    <w:p w:rsidR="0046784B" w:rsidRDefault="0046784B" w:rsidP="0046784B">
      <w:pPr>
        <w:pStyle w:val="ParagraphStyle"/>
        <w:tabs>
          <w:tab w:val="left" w:pos="6810"/>
        </w:tabs>
        <w:ind w:firstLine="855"/>
        <w:jc w:val="center"/>
        <w:rPr>
          <w:rFonts w:ascii="Bookman Old Style" w:hAnsi="Bookman Old Style" w:cs="Bookman Old Style"/>
          <w:sz w:val="20"/>
          <w:szCs w:val="20"/>
        </w:rPr>
      </w:pPr>
    </w:p>
    <w:p w:rsidR="0046784B" w:rsidRDefault="0046784B" w:rsidP="0046784B">
      <w:pPr>
        <w:pStyle w:val="ParagraphStyle"/>
        <w:tabs>
          <w:tab w:val="left" w:pos="6810"/>
        </w:tabs>
        <w:ind w:firstLine="855"/>
        <w:jc w:val="center"/>
        <w:rPr>
          <w:rFonts w:ascii="Bookman Old Style" w:hAnsi="Bookman Old Style" w:cs="Bookman Old Style"/>
          <w:sz w:val="20"/>
          <w:szCs w:val="20"/>
        </w:rPr>
      </w:pPr>
    </w:p>
    <w:p w:rsidR="0046784B" w:rsidRDefault="0046784B" w:rsidP="0046784B">
      <w:pPr>
        <w:pStyle w:val="ParagraphStyle"/>
        <w:tabs>
          <w:tab w:val="left" w:pos="6810"/>
        </w:tabs>
        <w:ind w:firstLine="855"/>
        <w:jc w:val="center"/>
        <w:rPr>
          <w:rFonts w:ascii="Bookman Old Style" w:hAnsi="Bookman Old Style" w:cs="Bookman Old Style"/>
          <w:sz w:val="20"/>
          <w:szCs w:val="20"/>
        </w:rPr>
      </w:pPr>
    </w:p>
    <w:p w:rsidR="0082074C" w:rsidRPr="0082074C" w:rsidRDefault="0082074C" w:rsidP="0082074C">
      <w:pPr>
        <w:widowControl/>
        <w:tabs>
          <w:tab w:val="left" w:pos="6810"/>
        </w:tabs>
        <w:autoSpaceDE w:val="0"/>
        <w:autoSpaceDN w:val="0"/>
        <w:adjustRightInd w:val="0"/>
        <w:ind w:firstLine="45"/>
        <w:jc w:val="center"/>
        <w:rPr>
          <w:rFonts w:ascii="Bookman Old Style" w:eastAsiaTheme="minorHAnsi" w:hAnsi="Bookman Old Style" w:cs="Bookman Old Style"/>
          <w:b/>
          <w:bCs/>
          <w:lang w:val="x-none" w:eastAsia="en-US"/>
        </w:rPr>
      </w:pPr>
      <w:r w:rsidRPr="0082074C">
        <w:rPr>
          <w:rFonts w:ascii="Bookman Old Style" w:eastAsiaTheme="minorHAnsi" w:hAnsi="Bookman Old Style" w:cs="Bookman Old Style"/>
          <w:b/>
          <w:bCs/>
          <w:lang w:val="x-none" w:eastAsia="en-US"/>
        </w:rPr>
        <w:t>PROMEDI DISTRIBUIDORA DE PRODUTOS HOSPITALARES LTDA</w:t>
      </w:r>
    </w:p>
    <w:p w:rsidR="0082074C" w:rsidRPr="0082074C" w:rsidRDefault="0082074C" w:rsidP="0082074C">
      <w:pPr>
        <w:widowControl/>
        <w:tabs>
          <w:tab w:val="left" w:pos="6810"/>
        </w:tabs>
        <w:autoSpaceDE w:val="0"/>
        <w:autoSpaceDN w:val="0"/>
        <w:adjustRightInd w:val="0"/>
        <w:ind w:firstLine="45"/>
        <w:jc w:val="center"/>
        <w:rPr>
          <w:rFonts w:ascii="Bookman Old Style" w:eastAsiaTheme="minorHAnsi" w:hAnsi="Bookman Old Style" w:cs="Bookman Old Style"/>
          <w:lang w:val="x-none" w:eastAsia="en-US"/>
        </w:rPr>
      </w:pPr>
      <w:r w:rsidRPr="0082074C">
        <w:rPr>
          <w:rFonts w:ascii="Bookman Old Style" w:eastAsiaTheme="minorHAnsi" w:hAnsi="Bookman Old Style" w:cs="Bookman Old Style"/>
          <w:lang w:val="x-none" w:eastAsia="en-US"/>
        </w:rPr>
        <w:t>CNPJ Nº: 27.806.274/0001-29</w:t>
      </w:r>
    </w:p>
    <w:p w:rsidR="0082074C" w:rsidRPr="0082074C" w:rsidRDefault="0082074C" w:rsidP="0082074C">
      <w:pPr>
        <w:widowControl/>
        <w:tabs>
          <w:tab w:val="left" w:pos="6810"/>
        </w:tabs>
        <w:autoSpaceDE w:val="0"/>
        <w:autoSpaceDN w:val="0"/>
        <w:adjustRightInd w:val="0"/>
        <w:ind w:firstLine="45"/>
        <w:jc w:val="center"/>
        <w:rPr>
          <w:rFonts w:ascii="Bookman Old Style" w:eastAsiaTheme="minorHAnsi" w:hAnsi="Bookman Old Style" w:cs="Bookman Old Style"/>
          <w:b/>
          <w:bCs/>
          <w:lang w:val="x-none" w:eastAsia="en-US"/>
        </w:rPr>
      </w:pPr>
      <w:r w:rsidRPr="0082074C">
        <w:rPr>
          <w:rFonts w:ascii="Bookman Old Style" w:eastAsiaTheme="minorHAnsi" w:hAnsi="Bookman Old Style" w:cs="Bookman Old Style"/>
          <w:b/>
          <w:bCs/>
          <w:lang w:val="x-none" w:eastAsia="en-US"/>
        </w:rPr>
        <w:t>FABIANA DOMINGUES</w:t>
      </w:r>
    </w:p>
    <w:p w:rsidR="0046784B" w:rsidRPr="00AD029F" w:rsidRDefault="0082074C" w:rsidP="0082074C">
      <w:pPr>
        <w:pStyle w:val="ParagraphStyle"/>
        <w:tabs>
          <w:tab w:val="left" w:pos="6810"/>
        </w:tabs>
        <w:ind w:firstLine="45"/>
        <w:jc w:val="center"/>
        <w:rPr>
          <w:rFonts w:ascii="Bookman Old Style" w:hAnsi="Bookman Old Style" w:cs="Bookman Old Style"/>
          <w:sz w:val="20"/>
          <w:szCs w:val="20"/>
        </w:rPr>
      </w:pPr>
      <w:r w:rsidRPr="0082074C">
        <w:rPr>
          <w:rFonts w:ascii="Bookman Old Style" w:hAnsi="Bookman Old Style" w:cs="Bookman Old Style"/>
          <w:sz w:val="20"/>
          <w:szCs w:val="20"/>
        </w:rPr>
        <w:t>CPF Nº: 959.084.550-91</w:t>
      </w:r>
    </w:p>
    <w:p w:rsidR="0046784B" w:rsidRDefault="0046784B" w:rsidP="0046784B">
      <w:pPr>
        <w:pStyle w:val="ParagraphStyle"/>
        <w:rPr>
          <w:rFonts w:ascii="Bookman Old Style" w:hAnsi="Bookman Old Style" w:cs="Bookman Old Style"/>
          <w:sz w:val="20"/>
          <w:szCs w:val="20"/>
        </w:rPr>
      </w:pPr>
    </w:p>
    <w:p w:rsidR="0046784B" w:rsidRDefault="0046784B" w:rsidP="0046784B">
      <w:pPr>
        <w:pStyle w:val="ParagraphStyle"/>
        <w:rPr>
          <w:rFonts w:ascii="Bookman Old Style" w:hAnsi="Bookman Old Style" w:cs="Bookman Old Style"/>
          <w:sz w:val="20"/>
          <w:szCs w:val="20"/>
        </w:rPr>
      </w:pPr>
      <w:r>
        <w:rPr>
          <w:rFonts w:ascii="Bookman Old Style" w:hAnsi="Bookman Old Style" w:cs="Bookman Old Style"/>
          <w:sz w:val="20"/>
          <w:szCs w:val="20"/>
        </w:rPr>
        <w:t>Testemunhas:</w:t>
      </w:r>
    </w:p>
    <w:p w:rsidR="0046784B" w:rsidRDefault="0046784B" w:rsidP="0046784B">
      <w:pPr>
        <w:pStyle w:val="ParagraphStyle"/>
        <w:jc w:val="center"/>
        <w:rPr>
          <w:rFonts w:ascii="Bookman Old Style" w:hAnsi="Bookman Old Style" w:cs="Bookman Old Style"/>
          <w:sz w:val="20"/>
          <w:szCs w:val="20"/>
        </w:rPr>
      </w:pPr>
    </w:p>
    <w:p w:rsidR="0046784B" w:rsidRDefault="0046784B" w:rsidP="0046784B">
      <w:pPr>
        <w:pStyle w:val="ParagraphStyle"/>
        <w:jc w:val="center"/>
        <w:rPr>
          <w:rFonts w:ascii="Bookman Old Style" w:hAnsi="Bookman Old Style" w:cs="Bookman Old Style"/>
          <w:sz w:val="20"/>
          <w:szCs w:val="20"/>
        </w:rPr>
      </w:pPr>
    </w:p>
    <w:p w:rsidR="0046784B" w:rsidRDefault="0046784B" w:rsidP="0046784B">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FLÁVIA REGINA MAI</w:t>
      </w:r>
    </w:p>
    <w:p w:rsidR="0046784B" w:rsidRDefault="0046784B" w:rsidP="0046784B">
      <w:pPr>
        <w:pStyle w:val="ParagraphStyle"/>
        <w:jc w:val="center"/>
        <w:rPr>
          <w:rFonts w:ascii="Bookman Old Style" w:hAnsi="Bookman Old Style" w:cs="Bookman Old Style"/>
          <w:sz w:val="20"/>
          <w:szCs w:val="20"/>
        </w:rPr>
      </w:pPr>
      <w:r>
        <w:rPr>
          <w:rFonts w:ascii="Bookman Old Style" w:hAnsi="Bookman Old Style" w:cs="Bookman Old Style"/>
          <w:sz w:val="20"/>
          <w:szCs w:val="20"/>
        </w:rPr>
        <w:t>CPF Nº: 078.964.499-19</w:t>
      </w:r>
    </w:p>
    <w:p w:rsidR="0046784B" w:rsidRDefault="0046784B" w:rsidP="0046784B">
      <w:pPr>
        <w:pStyle w:val="ParagraphStyle"/>
        <w:jc w:val="center"/>
        <w:rPr>
          <w:rFonts w:ascii="Bookman Old Style" w:hAnsi="Bookman Old Style" w:cs="Bookman Old Style"/>
          <w:sz w:val="20"/>
          <w:szCs w:val="20"/>
        </w:rPr>
      </w:pPr>
    </w:p>
    <w:p w:rsidR="0046784B" w:rsidRDefault="0046784B" w:rsidP="0046784B">
      <w:pPr>
        <w:pStyle w:val="ParagraphStyle"/>
        <w:jc w:val="center"/>
        <w:rPr>
          <w:rFonts w:ascii="Bookman Old Style" w:hAnsi="Bookman Old Style" w:cs="Bookman Old Style"/>
          <w:sz w:val="20"/>
          <w:szCs w:val="20"/>
        </w:rPr>
      </w:pPr>
    </w:p>
    <w:p w:rsidR="0046784B" w:rsidRDefault="0046784B" w:rsidP="0046784B">
      <w:pPr>
        <w:pStyle w:val="ParagraphStyle"/>
        <w:jc w:val="center"/>
        <w:rPr>
          <w:rFonts w:ascii="Bookman Old Style" w:hAnsi="Bookman Old Style" w:cs="Bookman Old Style"/>
          <w:sz w:val="20"/>
          <w:szCs w:val="20"/>
        </w:rPr>
      </w:pPr>
    </w:p>
    <w:p w:rsidR="0046784B" w:rsidRDefault="0046784B" w:rsidP="0046784B">
      <w:pPr>
        <w:pStyle w:val="ParagraphStyle"/>
        <w:jc w:val="center"/>
        <w:rPr>
          <w:rFonts w:ascii="Bookman Old Style" w:hAnsi="Bookman Old Style" w:cs="Bookman Old Style"/>
          <w:sz w:val="20"/>
          <w:szCs w:val="20"/>
        </w:rPr>
      </w:pPr>
    </w:p>
    <w:p w:rsidR="0046784B" w:rsidRDefault="0046784B" w:rsidP="0046784B">
      <w:pPr>
        <w:pStyle w:val="ParagraphStyle"/>
        <w:jc w:val="center"/>
        <w:rPr>
          <w:rFonts w:ascii="Bookman Old Style" w:hAnsi="Bookman Old Style" w:cs="Bookman Old Style"/>
          <w:b/>
          <w:bCs/>
          <w:sz w:val="20"/>
          <w:szCs w:val="20"/>
        </w:rPr>
      </w:pPr>
      <w:r>
        <w:rPr>
          <w:rFonts w:ascii="Bookman Old Style" w:hAnsi="Bookman Old Style" w:cs="Bookman Old Style"/>
          <w:b/>
          <w:bCs/>
          <w:sz w:val="20"/>
          <w:szCs w:val="20"/>
        </w:rPr>
        <w:t>CESAR AUGUSTO ORTEGA</w:t>
      </w:r>
    </w:p>
    <w:p w:rsidR="0046784B" w:rsidRPr="00412E43" w:rsidRDefault="0046784B" w:rsidP="0046784B">
      <w:pPr>
        <w:jc w:val="center"/>
        <w:rPr>
          <w:rFonts w:ascii="Bookman Old Style" w:hAnsi="Bookman Old Style"/>
        </w:rPr>
      </w:pPr>
      <w:r>
        <w:rPr>
          <w:rFonts w:ascii="Bookman Old Style" w:hAnsi="Bookman Old Style" w:cs="Bookman Old Style"/>
        </w:rPr>
        <w:t>CPF Nº 661.608.719-00</w:t>
      </w:r>
    </w:p>
    <w:p w:rsidR="0046784B" w:rsidRDefault="0046784B" w:rsidP="0046784B"/>
    <w:p w:rsidR="006B0418" w:rsidRDefault="006B0418"/>
    <w:sectPr w:rsidR="006B0418" w:rsidSect="00E34799">
      <w:headerReference w:type="default" r:id="rId5"/>
      <w:footerReference w:type="default" r:id="rId6"/>
      <w:pgSz w:w="11906" w:h="16838"/>
      <w:pgMar w:top="1440" w:right="1080" w:bottom="1440" w:left="1080"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EC" w:rsidRDefault="0082074C">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43" w:rsidRDefault="0082074C" w:rsidP="00316640">
    <w:pPr>
      <w:jc w:val="center"/>
      <w:rPr>
        <w:rFonts w:ascii="Bookman Old Style" w:hAnsi="Bookman Old Style"/>
        <w:b/>
      </w:rPr>
    </w:pPr>
    <w:r>
      <w:rPr>
        <w:noProof/>
      </w:rPr>
      <w:drawing>
        <wp:anchor distT="0" distB="0" distL="114300" distR="114300" simplePos="0" relativeHeight="251659264" behindDoc="0" locked="0" layoutInCell="1" allowOverlap="1" wp14:anchorId="3EC8BFF4" wp14:editId="3678CC6E">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rPr>
      <w:t>MUNICÍPIO DE SANTO ANTONIO DO SUDOESTE</w:t>
    </w:r>
  </w:p>
  <w:p w:rsidR="00412E43" w:rsidRDefault="0082074C" w:rsidP="00316640">
    <w:pPr>
      <w:jc w:val="center"/>
      <w:rPr>
        <w:rFonts w:ascii="Bookman Old Style" w:hAnsi="Bookman Old Style"/>
      </w:rPr>
    </w:pPr>
    <w:r>
      <w:rPr>
        <w:rFonts w:ascii="Bookman Old Style" w:hAnsi="Bookman Old Style"/>
      </w:rPr>
      <w:t>ESTADO DO PARANÁ</w:t>
    </w:r>
  </w:p>
  <w:p w:rsidR="00412E43" w:rsidRDefault="0082074C"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12E43" w:rsidRDefault="0082074C"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412E43" w:rsidRDefault="0082074C" w:rsidP="00316640">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12E43" w:rsidRDefault="0082074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F5B"/>
    <w:multiLevelType w:val="multilevel"/>
    <w:tmpl w:val="09125E3C"/>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abstractNum w:abstractNumId="1">
    <w:nsid w:val="06F87BA7"/>
    <w:multiLevelType w:val="multilevel"/>
    <w:tmpl w:val="04627046"/>
    <w:lvl w:ilvl="0">
      <w:start w:val="19"/>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795" w:hanging="435"/>
      </w:pPr>
      <w:rPr>
        <w:rFonts w:ascii="Times New Roman" w:eastAsia="Times New Roman" w:hAnsi="Times New Roman" w:cs="Times New Roman"/>
        <w:sz w:val="24"/>
      </w:rPr>
    </w:lvl>
    <w:lvl w:ilvl="2">
      <w:start w:val="1"/>
      <w:numFmt w:val="lowerLetter"/>
      <w:lvlText w:val="%3)"/>
      <w:lvlJc w:val="left"/>
      <w:pPr>
        <w:ind w:left="0" w:firstLine="0"/>
      </w:pPr>
      <w:rPr>
        <w:rFonts w:ascii="Times New Roman" w:eastAsia="Times New Roman" w:hAnsi="Times New Roman" w:cs="Times New Roman"/>
        <w:sz w:val="16"/>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
    <w:nsid w:val="2D9E38B6"/>
    <w:multiLevelType w:val="multilevel"/>
    <w:tmpl w:val="D36C62C4"/>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160" w:hanging="360"/>
      </w:pPr>
      <w:rPr>
        <w:rFonts w:ascii="Times New Roman" w:eastAsia="Times New Roman" w:hAnsi="Times New Roman" w:cs="Times New Roman"/>
        <w:sz w:val="24"/>
      </w:rPr>
    </w:lvl>
    <w:lvl w:ilvl="2">
      <w:start w:val="1"/>
      <w:numFmt w:val="lowerRoman"/>
      <w:lvlText w:val="%3."/>
      <w:lvlJc w:val="right"/>
      <w:pPr>
        <w:ind w:left="2880" w:hanging="180"/>
      </w:pPr>
      <w:rPr>
        <w:rFonts w:ascii="Times New Roman" w:eastAsia="Times New Roman" w:hAnsi="Times New Roman" w:cs="Times New Roman"/>
        <w:sz w:val="24"/>
      </w:rPr>
    </w:lvl>
    <w:lvl w:ilvl="3">
      <w:start w:val="1"/>
      <w:numFmt w:val="decimal"/>
      <w:lvlText w:val="%4."/>
      <w:lvlJc w:val="left"/>
      <w:pPr>
        <w:ind w:left="3600" w:hanging="360"/>
      </w:pPr>
      <w:rPr>
        <w:rFonts w:ascii="Times New Roman" w:eastAsia="Times New Roman" w:hAnsi="Times New Roman" w:cs="Times New Roman"/>
        <w:sz w:val="24"/>
      </w:rPr>
    </w:lvl>
    <w:lvl w:ilvl="4">
      <w:start w:val="1"/>
      <w:numFmt w:val="lowerLetter"/>
      <w:lvlText w:val="%5."/>
      <w:lvlJc w:val="left"/>
      <w:pPr>
        <w:ind w:left="4320" w:hanging="360"/>
      </w:pPr>
      <w:rPr>
        <w:rFonts w:ascii="Times New Roman" w:eastAsia="Times New Roman" w:hAnsi="Times New Roman" w:cs="Times New Roman"/>
        <w:sz w:val="24"/>
      </w:rPr>
    </w:lvl>
    <w:lvl w:ilvl="5">
      <w:start w:val="1"/>
      <w:numFmt w:val="lowerRoman"/>
      <w:lvlText w:val="%6."/>
      <w:lvlJc w:val="right"/>
      <w:pPr>
        <w:ind w:left="5040" w:hanging="180"/>
      </w:pPr>
      <w:rPr>
        <w:rFonts w:ascii="Times New Roman" w:eastAsia="Times New Roman" w:hAnsi="Times New Roman" w:cs="Times New Roman"/>
        <w:sz w:val="24"/>
      </w:rPr>
    </w:lvl>
    <w:lvl w:ilvl="6">
      <w:start w:val="1"/>
      <w:numFmt w:val="decimal"/>
      <w:lvlText w:val="%7."/>
      <w:lvlJc w:val="left"/>
      <w:pPr>
        <w:ind w:left="5760" w:hanging="360"/>
      </w:pPr>
      <w:rPr>
        <w:rFonts w:ascii="Times New Roman" w:eastAsia="Times New Roman" w:hAnsi="Times New Roman" w:cs="Times New Roman"/>
        <w:sz w:val="24"/>
      </w:rPr>
    </w:lvl>
    <w:lvl w:ilvl="7">
      <w:start w:val="1"/>
      <w:numFmt w:val="lowerLetter"/>
      <w:lvlText w:val="%8."/>
      <w:lvlJc w:val="left"/>
      <w:pPr>
        <w:ind w:left="6480" w:hanging="360"/>
      </w:pPr>
      <w:rPr>
        <w:rFonts w:ascii="Times New Roman" w:eastAsia="Times New Roman" w:hAnsi="Times New Roman" w:cs="Times New Roman"/>
        <w:sz w:val="24"/>
      </w:rPr>
    </w:lvl>
    <w:lvl w:ilvl="8">
      <w:start w:val="1"/>
      <w:numFmt w:val="lowerRoman"/>
      <w:lvlText w:val="%9."/>
      <w:lvlJc w:val="right"/>
      <w:pPr>
        <w:ind w:left="7200" w:hanging="180"/>
      </w:pPr>
      <w:rPr>
        <w:rFonts w:ascii="Times New Roman" w:eastAsia="Times New Roman" w:hAnsi="Times New Roman" w:cs="Times New Roman"/>
        <w:sz w:val="24"/>
      </w:rPr>
    </w:lvl>
  </w:abstractNum>
  <w:abstractNum w:abstractNumId="3">
    <w:nsid w:val="48AA56B3"/>
    <w:multiLevelType w:val="multilevel"/>
    <w:tmpl w:val="AF5039A2"/>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1440" w:hanging="360"/>
      </w:pPr>
      <w:rPr>
        <w:rFonts w:ascii="Times New Roman" w:eastAsia="Times New Roman" w:hAnsi="Times New Roman" w:cs="Times New Roman"/>
        <w:sz w:val="24"/>
      </w:rPr>
    </w:lvl>
    <w:lvl w:ilvl="2">
      <w:start w:val="1"/>
      <w:numFmt w:val="lowerRoman"/>
      <w:lvlText w:val="%3."/>
      <w:lvlJc w:val="right"/>
      <w:pPr>
        <w:ind w:left="2160" w:hanging="180"/>
      </w:pPr>
      <w:rPr>
        <w:rFonts w:ascii="Times New Roman" w:eastAsia="Times New Roman" w:hAnsi="Times New Roman" w:cs="Times New Roman"/>
        <w:sz w:val="24"/>
      </w:rPr>
    </w:lvl>
    <w:lvl w:ilvl="3">
      <w:start w:val="1"/>
      <w:numFmt w:val="decimal"/>
      <w:lvlText w:val="%4."/>
      <w:lvlJc w:val="left"/>
      <w:pPr>
        <w:ind w:left="2880" w:hanging="360"/>
      </w:pPr>
      <w:rPr>
        <w:rFonts w:ascii="Times New Roman" w:eastAsia="Times New Roman" w:hAnsi="Times New Roman" w:cs="Times New Roman"/>
        <w:sz w:val="24"/>
      </w:rPr>
    </w:lvl>
    <w:lvl w:ilvl="4">
      <w:start w:val="1"/>
      <w:numFmt w:val="lowerLetter"/>
      <w:lvlText w:val="%5."/>
      <w:lvlJc w:val="left"/>
      <w:pPr>
        <w:ind w:left="3600" w:hanging="360"/>
      </w:pPr>
      <w:rPr>
        <w:rFonts w:ascii="Times New Roman" w:eastAsia="Times New Roman" w:hAnsi="Times New Roman" w:cs="Times New Roman"/>
        <w:sz w:val="24"/>
      </w:rPr>
    </w:lvl>
    <w:lvl w:ilvl="5">
      <w:start w:val="1"/>
      <w:numFmt w:val="lowerRoman"/>
      <w:lvlText w:val="%6."/>
      <w:lvlJc w:val="right"/>
      <w:pPr>
        <w:ind w:left="4320" w:hanging="180"/>
      </w:pPr>
      <w:rPr>
        <w:rFonts w:ascii="Times New Roman" w:eastAsia="Times New Roman" w:hAnsi="Times New Roman" w:cs="Times New Roman"/>
        <w:sz w:val="24"/>
      </w:rPr>
    </w:lvl>
    <w:lvl w:ilvl="6">
      <w:start w:val="1"/>
      <w:numFmt w:val="decimal"/>
      <w:lvlText w:val="%7."/>
      <w:lvlJc w:val="left"/>
      <w:pPr>
        <w:ind w:left="5040" w:hanging="360"/>
      </w:pPr>
      <w:rPr>
        <w:rFonts w:ascii="Times New Roman" w:eastAsia="Times New Roman" w:hAnsi="Times New Roman" w:cs="Times New Roman"/>
        <w:sz w:val="24"/>
      </w:rPr>
    </w:lvl>
    <w:lvl w:ilvl="7">
      <w:start w:val="1"/>
      <w:numFmt w:val="lowerLetter"/>
      <w:lvlText w:val="%8."/>
      <w:lvlJc w:val="left"/>
      <w:pPr>
        <w:ind w:left="5760" w:hanging="360"/>
      </w:pPr>
      <w:rPr>
        <w:rFonts w:ascii="Times New Roman" w:eastAsia="Times New Roman" w:hAnsi="Times New Roman" w:cs="Times New Roman"/>
        <w:sz w:val="24"/>
      </w:rPr>
    </w:lvl>
    <w:lvl w:ilvl="8">
      <w:start w:val="1"/>
      <w:numFmt w:val="lowerRoman"/>
      <w:lvlText w:val="%9."/>
      <w:lvlJc w:val="right"/>
      <w:pPr>
        <w:ind w:left="6480" w:hanging="180"/>
      </w:pPr>
      <w:rPr>
        <w:rFonts w:ascii="Times New Roman" w:eastAsia="Times New Roman" w:hAnsi="Times New Roman" w:cs="Times New Roman"/>
        <w:sz w:val="24"/>
      </w:rPr>
    </w:lvl>
  </w:abstractNum>
  <w:abstractNum w:abstractNumId="4">
    <w:nsid w:val="49BA218B"/>
    <w:multiLevelType w:val="multilevel"/>
    <w:tmpl w:val="EFD0B5CE"/>
    <w:lvl w:ilvl="0">
      <w:start w:val="1"/>
      <w:numFmt w:val="lowerLetter"/>
      <w:lvlText w:val="%1)"/>
      <w:lvlJc w:val="left"/>
      <w:pPr>
        <w:ind w:left="0" w:firstLine="0"/>
      </w:pPr>
      <w:rPr>
        <w:rFonts w:ascii="Times New Roman" w:eastAsia="Times New Roman" w:hAnsi="Times New Roman" w:cs="Times New Roman"/>
        <w:color w:val="000000"/>
        <w:sz w:val="16"/>
      </w:rPr>
    </w:lvl>
    <w:lvl w:ilvl="1">
      <w:start w:val="1"/>
      <w:numFmt w:val="lowerLetter"/>
      <w:lvlText w:val="%2."/>
      <w:lvlJc w:val="left"/>
      <w:pPr>
        <w:ind w:left="3705" w:hanging="360"/>
      </w:pPr>
      <w:rPr>
        <w:rFonts w:ascii="Times New Roman" w:eastAsia="Times New Roman" w:hAnsi="Times New Roman" w:cs="Times New Roman"/>
        <w:sz w:val="24"/>
      </w:rPr>
    </w:lvl>
    <w:lvl w:ilvl="2">
      <w:start w:val="1"/>
      <w:numFmt w:val="lowerRoman"/>
      <w:lvlText w:val="%3."/>
      <w:lvlJc w:val="right"/>
      <w:pPr>
        <w:ind w:left="4425" w:hanging="180"/>
      </w:pPr>
      <w:rPr>
        <w:rFonts w:ascii="Times New Roman" w:eastAsia="Times New Roman" w:hAnsi="Times New Roman" w:cs="Times New Roman"/>
        <w:sz w:val="24"/>
      </w:rPr>
    </w:lvl>
    <w:lvl w:ilvl="3">
      <w:start w:val="1"/>
      <w:numFmt w:val="decimal"/>
      <w:lvlText w:val="%4."/>
      <w:lvlJc w:val="left"/>
      <w:pPr>
        <w:ind w:left="5145" w:hanging="360"/>
      </w:pPr>
      <w:rPr>
        <w:rFonts w:ascii="Times New Roman" w:eastAsia="Times New Roman" w:hAnsi="Times New Roman" w:cs="Times New Roman"/>
        <w:sz w:val="24"/>
      </w:rPr>
    </w:lvl>
    <w:lvl w:ilvl="4">
      <w:start w:val="1"/>
      <w:numFmt w:val="lowerLetter"/>
      <w:lvlText w:val="%5."/>
      <w:lvlJc w:val="left"/>
      <w:pPr>
        <w:ind w:left="5865" w:hanging="360"/>
      </w:pPr>
      <w:rPr>
        <w:rFonts w:ascii="Times New Roman" w:eastAsia="Times New Roman" w:hAnsi="Times New Roman" w:cs="Times New Roman"/>
        <w:sz w:val="24"/>
      </w:rPr>
    </w:lvl>
    <w:lvl w:ilvl="5">
      <w:start w:val="1"/>
      <w:numFmt w:val="lowerRoman"/>
      <w:lvlText w:val="%6."/>
      <w:lvlJc w:val="right"/>
      <w:pPr>
        <w:ind w:left="6585" w:hanging="180"/>
      </w:pPr>
      <w:rPr>
        <w:rFonts w:ascii="Times New Roman" w:eastAsia="Times New Roman" w:hAnsi="Times New Roman" w:cs="Times New Roman"/>
        <w:sz w:val="24"/>
      </w:rPr>
    </w:lvl>
    <w:lvl w:ilvl="6">
      <w:start w:val="1"/>
      <w:numFmt w:val="decimal"/>
      <w:lvlText w:val="%7."/>
      <w:lvlJc w:val="left"/>
      <w:pPr>
        <w:ind w:left="7305" w:hanging="360"/>
      </w:pPr>
      <w:rPr>
        <w:rFonts w:ascii="Times New Roman" w:eastAsia="Times New Roman" w:hAnsi="Times New Roman" w:cs="Times New Roman"/>
        <w:sz w:val="24"/>
      </w:rPr>
    </w:lvl>
    <w:lvl w:ilvl="7">
      <w:start w:val="1"/>
      <w:numFmt w:val="lowerLetter"/>
      <w:lvlText w:val="%8."/>
      <w:lvlJc w:val="left"/>
      <w:pPr>
        <w:ind w:left="8025" w:hanging="360"/>
      </w:pPr>
      <w:rPr>
        <w:rFonts w:ascii="Times New Roman" w:eastAsia="Times New Roman" w:hAnsi="Times New Roman" w:cs="Times New Roman"/>
        <w:sz w:val="24"/>
      </w:rPr>
    </w:lvl>
    <w:lvl w:ilvl="8">
      <w:start w:val="1"/>
      <w:numFmt w:val="lowerRoman"/>
      <w:lvlText w:val="%9."/>
      <w:lvlJc w:val="right"/>
      <w:pPr>
        <w:ind w:left="8745" w:hanging="180"/>
      </w:pPr>
      <w:rPr>
        <w:rFonts w:ascii="Times New Roman" w:eastAsia="Times New Roman" w:hAnsi="Times New Roman" w:cs="Times New Roman"/>
        <w:sz w:val="24"/>
      </w:rPr>
    </w:lvl>
  </w:abstractNum>
  <w:abstractNum w:abstractNumId="5">
    <w:nsid w:val="752B30ED"/>
    <w:multiLevelType w:val="multilevel"/>
    <w:tmpl w:val="4464182C"/>
    <w:lvl w:ilvl="0">
      <w:start w:val="1"/>
      <w:numFmt w:val="decimal"/>
      <w:lvlText w:val="%1."/>
      <w:lvlJc w:val="left"/>
      <w:pPr>
        <w:ind w:left="0" w:firstLine="0"/>
      </w:pPr>
      <w:rPr>
        <w:rFonts w:ascii="Times New Roman" w:eastAsia="Times New Roman" w:hAnsi="Times New Roman" w:cs="Times New Roman"/>
        <w:b/>
        <w:color w:val="000000"/>
        <w:sz w:val="16"/>
      </w:rPr>
    </w:lvl>
    <w:lvl w:ilvl="1">
      <w:start w:val="1"/>
      <w:numFmt w:val="decimal"/>
      <w:lvlText w:val="%1.%2."/>
      <w:lvlJc w:val="left"/>
      <w:pPr>
        <w:ind w:left="0" w:firstLine="0"/>
      </w:pPr>
      <w:rPr>
        <w:rFonts w:ascii="Bookman Old Style" w:eastAsia="Bookman Old Style" w:hAnsi="Bookman Old Style" w:cs="Bookman Old Style"/>
        <w:b/>
        <w:sz w:val="16"/>
      </w:rPr>
    </w:lvl>
    <w:lvl w:ilvl="2">
      <w:start w:val="1"/>
      <w:numFmt w:val="decimal"/>
      <w:lvlText w:val="%1.%2.%3."/>
      <w:lvlJc w:val="left"/>
      <w:pPr>
        <w:ind w:left="0" w:firstLine="0"/>
      </w:pPr>
      <w:rPr>
        <w:rFonts w:ascii="Times New Roman" w:eastAsia="Times New Roman" w:hAnsi="Times New Roman" w:cs="Times New Roman"/>
        <w:b/>
        <w:sz w:val="16"/>
      </w:rPr>
    </w:lvl>
    <w:lvl w:ilvl="3">
      <w:start w:val="1"/>
      <w:numFmt w:val="decimal"/>
      <w:lvlText w:val="%1.%2.%3.%4."/>
      <w:lvlJc w:val="left"/>
      <w:pPr>
        <w:ind w:left="0" w:firstLine="0"/>
      </w:pPr>
      <w:rPr>
        <w:rFonts w:ascii="Times New Roman" w:eastAsia="Times New Roman" w:hAnsi="Times New Roman" w:cs="Times New Roman"/>
        <w:sz w:val="16"/>
      </w:rPr>
    </w:lvl>
    <w:lvl w:ilvl="4">
      <w:start w:val="1"/>
      <w:numFmt w:val="decimal"/>
      <w:lvlText w:val="%1.%2.%3.%4.%5."/>
      <w:lvlJc w:val="left"/>
      <w:pPr>
        <w:ind w:left="1140" w:firstLine="0"/>
      </w:pPr>
      <w:rPr>
        <w:rFonts w:ascii="Times New Roman" w:eastAsia="Times New Roman" w:hAnsi="Times New Roman" w:cs="Times New Roman"/>
        <w:b/>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6">
    <w:nsid w:val="7F3E4EAF"/>
    <w:multiLevelType w:val="multilevel"/>
    <w:tmpl w:val="C6F41F7A"/>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rPr>
        <w:rFonts w:ascii="Times New Roman" w:eastAsia="Times New Roman" w:hAnsi="Times New Roman" w:cs="Times New Roman"/>
        <w:sz w:val="24"/>
      </w:rPr>
    </w:lvl>
    <w:lvl w:ilvl="2">
      <w:start w:val="1"/>
      <w:numFmt w:val="lowerRoman"/>
      <w:lvlText w:val="%3)"/>
      <w:lvlJc w:val="left"/>
      <w:pPr>
        <w:ind w:left="0" w:firstLine="0"/>
      </w:pPr>
      <w:rPr>
        <w:rFonts w:ascii="Times New Roman" w:eastAsia="Times New Roman" w:hAnsi="Times New Roman" w:cs="Times New Roman"/>
        <w:sz w:val="16"/>
      </w:rPr>
    </w:lvl>
    <w:lvl w:ilvl="3">
      <w:start w:val="1"/>
      <w:numFmt w:val="decimal"/>
      <w:lvlText w:val="(%4)"/>
      <w:lvlJc w:val="left"/>
      <w:pPr>
        <w:ind w:left="0" w:firstLine="0"/>
      </w:pPr>
      <w:rPr>
        <w:rFonts w:ascii="Times New Roman" w:eastAsia="Times New Roman" w:hAnsi="Times New Roman" w:cs="Times New Roman"/>
        <w:sz w:val="16"/>
      </w:rPr>
    </w:lvl>
    <w:lvl w:ilvl="4">
      <w:start w:val="1"/>
      <w:numFmt w:val="lowerLetter"/>
      <w:lvlText w:val="(%5)"/>
      <w:lvlJc w:val="left"/>
      <w:pPr>
        <w:ind w:left="0" w:firstLine="0"/>
      </w:pPr>
      <w:rPr>
        <w:rFonts w:ascii="Times New Roman" w:eastAsia="Times New Roman" w:hAnsi="Times New Roman" w:cs="Times New Roman"/>
        <w:i/>
        <w:sz w:val="16"/>
      </w:rPr>
    </w:lvl>
    <w:lvl w:ilvl="5">
      <w:start w:val="1"/>
      <w:numFmt w:val="lowerRoman"/>
      <w:lvlText w:val="(%6)"/>
      <w:lvlJc w:val="left"/>
      <w:pPr>
        <w:ind w:left="2160" w:hanging="360"/>
      </w:pPr>
      <w:rPr>
        <w:rFonts w:ascii="Times New Roman" w:eastAsia="Times New Roman" w:hAnsi="Times New Roman" w:cs="Times New Roman"/>
        <w:sz w:val="24"/>
      </w:rPr>
    </w:lvl>
    <w:lvl w:ilvl="6">
      <w:start w:val="1"/>
      <w:numFmt w:val="decimal"/>
      <w:lvlText w:val="%7."/>
      <w:lvlJc w:val="left"/>
      <w:pPr>
        <w:ind w:left="2520" w:hanging="360"/>
      </w:pPr>
      <w:rPr>
        <w:rFonts w:ascii="Times New Roman" w:eastAsia="Times New Roman" w:hAnsi="Times New Roman" w:cs="Times New Roman"/>
        <w:sz w:val="24"/>
      </w:rPr>
    </w:lvl>
    <w:lvl w:ilvl="7">
      <w:start w:val="1"/>
      <w:numFmt w:val="lowerLetter"/>
      <w:lvlText w:val="%8."/>
      <w:lvlJc w:val="left"/>
      <w:pPr>
        <w:ind w:left="2880" w:hanging="360"/>
      </w:pPr>
      <w:rPr>
        <w:rFonts w:ascii="Times New Roman" w:eastAsia="Times New Roman" w:hAnsi="Times New Roman" w:cs="Times New Roman"/>
        <w:sz w:val="24"/>
      </w:rPr>
    </w:lvl>
    <w:lvl w:ilvl="8">
      <w:start w:val="1"/>
      <w:numFmt w:val="lowerRoman"/>
      <w:lvlText w:val="%9."/>
      <w:lvlJc w:val="left"/>
      <w:pPr>
        <w:ind w:left="3240" w:hanging="360"/>
      </w:pPr>
      <w:rPr>
        <w:rFonts w:ascii="Times New Roman" w:eastAsia="Times New Roman" w:hAnsi="Times New Roman" w:cs="Times New Roman"/>
        <w:sz w:val="24"/>
      </w:rPr>
    </w:lvl>
  </w:abstractNum>
  <w:num w:numId="1">
    <w:abstractNumId w:val="1"/>
  </w:num>
  <w:num w:numId="2">
    <w:abstractNumId w:val="1"/>
    <w:lvlOverride w:ilvl="2">
      <w:startOverride w:val="1"/>
    </w:lvlOverride>
  </w:num>
  <w:num w:numId="3">
    <w:abstractNumId w:val="4"/>
  </w:num>
  <w:num w:numId="4">
    <w:abstractNumId w:val="4"/>
    <w:lvlOverride w:ilvl="0">
      <w:startOverride w:val="1"/>
    </w:lvlOverride>
  </w:num>
  <w:num w:numId="5">
    <w:abstractNumId w:val="5"/>
  </w:num>
  <w:num w:numId="6">
    <w:abstractNumId w:val="5"/>
    <w:lvlOverride w:ilvl="0">
      <w:startOverride w:val="1"/>
    </w:lvlOverride>
  </w:num>
  <w:num w:numId="7">
    <w:abstractNumId w:val="5"/>
    <w:lvlOverride w:ilvl="1">
      <w:startOverride w:val="1"/>
    </w:lvlOverride>
  </w:num>
  <w:num w:numId="8">
    <w:abstractNumId w:val="5"/>
    <w:lvlOverride w:ilvl="2">
      <w:startOverride w:val="1"/>
    </w:lvlOverride>
  </w:num>
  <w:num w:numId="9">
    <w:abstractNumId w:val="5"/>
    <w:lvlOverride w:ilvl="1">
      <w:startOverride w:val="1"/>
    </w:lvlOverride>
  </w:num>
  <w:num w:numId="10">
    <w:abstractNumId w:val="5"/>
    <w:lvlOverride w:ilvl="2">
      <w:startOverride w:val="1"/>
    </w:lvlOverride>
  </w:num>
  <w:num w:numId="11">
    <w:abstractNumId w:val="5"/>
    <w:lvlOverride w:ilvl="2">
      <w:startOverride w:val="1"/>
    </w:lvlOverride>
  </w:num>
  <w:num w:numId="12">
    <w:abstractNumId w:val="5"/>
    <w:lvlOverride w:ilvl="3">
      <w:startOverride w:val="1"/>
    </w:lvlOverride>
  </w:num>
  <w:num w:numId="13">
    <w:abstractNumId w:val="5"/>
    <w:lvlOverride w:ilvl="3">
      <w:startOverride w:val="1"/>
    </w:lvlOverride>
  </w:num>
  <w:num w:numId="14">
    <w:abstractNumId w:val="5"/>
    <w:lvlOverride w:ilvl="1">
      <w:startOverride w:val="1"/>
    </w:lvlOverride>
  </w:num>
  <w:num w:numId="15">
    <w:abstractNumId w:val="0"/>
  </w:num>
  <w:num w:numId="16">
    <w:abstractNumId w:val="0"/>
    <w:lvlOverride w:ilvl="2">
      <w:startOverride w:val="1"/>
    </w:lvlOverride>
  </w:num>
  <w:num w:numId="17">
    <w:abstractNumId w:val="0"/>
    <w:lvlOverride w:ilvl="4">
      <w:startOverride w:val="1"/>
    </w:lvlOverride>
  </w:num>
  <w:num w:numId="18">
    <w:abstractNumId w:val="3"/>
  </w:num>
  <w:num w:numId="19">
    <w:abstractNumId w:val="3"/>
    <w:lvlOverride w:ilvl="0">
      <w:startOverride w:val="1"/>
    </w:lvlOverride>
  </w:num>
  <w:num w:numId="20">
    <w:abstractNumId w:val="2"/>
  </w:num>
  <w:num w:numId="21">
    <w:abstractNumId w:val="2"/>
    <w:lvlOverride w:ilvl="0">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4B"/>
    <w:rsid w:val="0046784B"/>
    <w:rsid w:val="006B0418"/>
    <w:rsid w:val="0082074C"/>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9614C-CC66-44D6-BF04-F944219B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4B"/>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6784B"/>
    <w:pPr>
      <w:tabs>
        <w:tab w:val="center" w:pos="4252"/>
        <w:tab w:val="right" w:pos="8504"/>
      </w:tabs>
    </w:pPr>
  </w:style>
  <w:style w:type="character" w:customStyle="1" w:styleId="RodapChar">
    <w:name w:val="Rodapé Char"/>
    <w:basedOn w:val="Fontepargpadro"/>
    <w:link w:val="Rodap"/>
    <w:uiPriority w:val="99"/>
    <w:rsid w:val="0046784B"/>
    <w:rPr>
      <w:rFonts w:ascii="Arial" w:eastAsia="Arial" w:hAnsi="Arial" w:cs="Arial"/>
      <w:sz w:val="20"/>
      <w:szCs w:val="20"/>
      <w:lang w:eastAsia="pt-BR"/>
    </w:rPr>
  </w:style>
  <w:style w:type="paragraph" w:styleId="PargrafodaLista">
    <w:name w:val="List Paragraph"/>
    <w:basedOn w:val="Normal"/>
    <w:link w:val="PargrafodaListaChar"/>
    <w:uiPriority w:val="34"/>
    <w:qFormat/>
    <w:rsid w:val="0046784B"/>
    <w:pPr>
      <w:autoSpaceDE w:val="0"/>
      <w:autoSpaceDN w:val="0"/>
      <w:ind w:left="1302" w:hanging="709"/>
      <w:jc w:val="both"/>
    </w:pPr>
    <w:rPr>
      <w:rFonts w:ascii="Times New Roman" w:eastAsia="Times New Roman" w:hAnsi="Times New Roman" w:cs="Times New Roman"/>
      <w:sz w:val="22"/>
      <w:szCs w:val="22"/>
      <w:lang w:val="pt-PT" w:eastAsia="en-US"/>
    </w:rPr>
  </w:style>
  <w:style w:type="character" w:customStyle="1" w:styleId="PargrafodaListaChar">
    <w:name w:val="Parágrafo da Lista Char"/>
    <w:basedOn w:val="Fontepargpadro"/>
    <w:link w:val="PargrafodaLista"/>
    <w:uiPriority w:val="34"/>
    <w:locked/>
    <w:rsid w:val="0046784B"/>
    <w:rPr>
      <w:rFonts w:ascii="Times New Roman" w:eastAsia="Times New Roman" w:hAnsi="Times New Roman" w:cs="Times New Roman"/>
      <w:lang w:val="pt-PT"/>
    </w:rPr>
  </w:style>
  <w:style w:type="paragraph" w:styleId="Cabealho">
    <w:name w:val="header"/>
    <w:basedOn w:val="Normal"/>
    <w:link w:val="CabealhoChar"/>
    <w:uiPriority w:val="99"/>
    <w:unhideWhenUsed/>
    <w:rsid w:val="0046784B"/>
    <w:pPr>
      <w:tabs>
        <w:tab w:val="center" w:pos="4252"/>
        <w:tab w:val="right" w:pos="8504"/>
      </w:tabs>
    </w:pPr>
  </w:style>
  <w:style w:type="character" w:customStyle="1" w:styleId="CabealhoChar">
    <w:name w:val="Cabeçalho Char"/>
    <w:basedOn w:val="Fontepargpadro"/>
    <w:link w:val="Cabealho"/>
    <w:uiPriority w:val="99"/>
    <w:rsid w:val="0046784B"/>
    <w:rPr>
      <w:rFonts w:ascii="Arial" w:eastAsia="Arial" w:hAnsi="Arial" w:cs="Arial"/>
      <w:sz w:val="20"/>
      <w:szCs w:val="20"/>
      <w:lang w:eastAsia="pt-BR"/>
    </w:rPr>
  </w:style>
  <w:style w:type="character" w:styleId="Hyperlink">
    <w:name w:val="Hyperlink"/>
    <w:uiPriority w:val="99"/>
    <w:unhideWhenUsed/>
    <w:rsid w:val="0046784B"/>
    <w:rPr>
      <w:color w:val="0563C1"/>
      <w:u w:val="single"/>
    </w:rPr>
  </w:style>
  <w:style w:type="paragraph" w:customStyle="1" w:styleId="ParagraphStyle">
    <w:name w:val="Paragraph Style"/>
    <w:rsid w:val="0046784B"/>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4207</Words>
  <Characters>22718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2024-02-05T16:34:00Z</dcterms:created>
  <dcterms:modified xsi:type="dcterms:W3CDTF">2024-02-05T16:49:00Z</dcterms:modified>
</cp:coreProperties>
</file>