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43" w:rsidRPr="003911E5" w:rsidRDefault="00877B43" w:rsidP="00877B43">
      <w:pPr>
        <w:autoSpaceDE w:val="0"/>
        <w:autoSpaceDN w:val="0"/>
        <w:adjustRightInd w:val="0"/>
        <w:spacing w:after="0" w:line="240" w:lineRule="auto"/>
        <w:jc w:val="center"/>
        <w:rPr>
          <w:rFonts w:ascii="Bookman Old Style" w:hAnsi="Bookman Old Style" w:cs="Times New Roman"/>
          <w:b/>
          <w:bCs/>
          <w:sz w:val="20"/>
          <w:szCs w:val="20"/>
        </w:rPr>
      </w:pPr>
      <w:r w:rsidRPr="003911E5">
        <w:rPr>
          <w:rFonts w:ascii="Bookman Old Style" w:hAnsi="Bookman Old Style" w:cs="Times New Roman"/>
          <w:b/>
          <w:bCs/>
          <w:sz w:val="20"/>
          <w:szCs w:val="20"/>
        </w:rPr>
        <w:t>AVISO DE DISPENSA N° 067/2023</w:t>
      </w:r>
    </w:p>
    <w:p w:rsidR="00877B43" w:rsidRPr="003911E5" w:rsidRDefault="00877B43" w:rsidP="00877B43">
      <w:pPr>
        <w:jc w:val="center"/>
        <w:rPr>
          <w:rFonts w:ascii="Bookman Old Style" w:hAnsi="Bookman Old Style" w:cs="Times New Roman"/>
          <w:b/>
          <w:bCs/>
          <w:sz w:val="20"/>
          <w:szCs w:val="20"/>
        </w:rPr>
      </w:pPr>
      <w:r w:rsidRPr="003911E5">
        <w:rPr>
          <w:rFonts w:ascii="Bookman Old Style" w:hAnsi="Bookman Old Style" w:cs="Times New Roman"/>
          <w:b/>
          <w:bCs/>
          <w:sz w:val="20"/>
          <w:szCs w:val="20"/>
        </w:rPr>
        <w:t xml:space="preserve">Processo Administrativo n° </w:t>
      </w:r>
      <w:r w:rsidR="003911E5" w:rsidRPr="003911E5">
        <w:rPr>
          <w:rFonts w:ascii="Bookman Old Style" w:hAnsi="Bookman Old Style" w:cs="Times New Roman"/>
          <w:b/>
          <w:bCs/>
          <w:sz w:val="20"/>
          <w:szCs w:val="20"/>
        </w:rPr>
        <w:t>557</w:t>
      </w:r>
      <w:r w:rsidRPr="003911E5">
        <w:rPr>
          <w:rFonts w:ascii="Bookman Old Style" w:hAnsi="Bookman Old Style" w:cs="Times New Roman"/>
          <w:b/>
          <w:bCs/>
          <w:sz w:val="20"/>
          <w:szCs w:val="20"/>
        </w:rPr>
        <w:t>/2023</w:t>
      </w:r>
    </w:p>
    <w:p w:rsidR="00877B43" w:rsidRPr="003911E5" w:rsidRDefault="00877B43" w:rsidP="00877B43">
      <w:pPr>
        <w:jc w:val="center"/>
        <w:rPr>
          <w:rFonts w:ascii="Bookman Old Style" w:hAnsi="Bookman Old Style"/>
          <w:sz w:val="20"/>
          <w:szCs w:val="20"/>
        </w:rPr>
      </w:pPr>
    </w:p>
    <w:p w:rsidR="00877B43" w:rsidRPr="00397AE3"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3911E5">
        <w:rPr>
          <w:rFonts w:ascii="Bookman Old Style" w:hAnsi="Bookman Old Style"/>
          <w:sz w:val="20"/>
          <w:szCs w:val="20"/>
        </w:rPr>
        <w:tab/>
      </w:r>
      <w:r w:rsidRPr="003911E5">
        <w:rPr>
          <w:rFonts w:ascii="Bookman Old Style" w:hAnsi="Bookman Old Style" w:cs="Times New Roman"/>
          <w:sz w:val="20"/>
          <w:szCs w:val="20"/>
        </w:rPr>
        <w:t xml:space="preserve">Torna-se público que o(a) O MUNICIPIO DE SANTO ANTONIO DO SUDOESTE, Estado do Paraná, inscrito no CNPJ sob </w:t>
      </w:r>
      <w:proofErr w:type="spellStart"/>
      <w:r w:rsidRPr="003911E5">
        <w:rPr>
          <w:rFonts w:ascii="Bookman Old Style" w:hAnsi="Bookman Old Style" w:cs="Times New Roman"/>
          <w:sz w:val="20"/>
          <w:szCs w:val="20"/>
        </w:rPr>
        <w:t>n.°</w:t>
      </w:r>
      <w:proofErr w:type="spellEnd"/>
      <w:r w:rsidRPr="003911E5">
        <w:rPr>
          <w:rFonts w:ascii="Bookman Old Style" w:hAnsi="Bookman Old Style" w:cs="Times New Roman"/>
          <w:sz w:val="20"/>
          <w:szCs w:val="20"/>
        </w:rPr>
        <w:t xml:space="preserve"> 75.927.582/0001-55, através da </w:t>
      </w:r>
      <w:r w:rsidR="009C78DD" w:rsidRPr="003911E5">
        <w:rPr>
          <w:rFonts w:ascii="Bookman Old Style" w:hAnsi="Bookman Old Style" w:cs="Times New Roman"/>
          <w:sz w:val="20"/>
          <w:szCs w:val="20"/>
        </w:rPr>
        <w:t>Secretaria Municipal de Obras e Serviços Públicos</w:t>
      </w:r>
      <w:r w:rsidRPr="003911E5">
        <w:rPr>
          <w:rFonts w:ascii="Bookman Old Style" w:hAnsi="Bookman Old Style" w:cs="Times New Roman"/>
          <w:sz w:val="20"/>
          <w:szCs w:val="20"/>
        </w:rPr>
        <w:t>, sediado a Avenida Brasil n° 1431 - centro – Santo Antonio do Sudoeste Paraná, por intermédio do Excelentíssimo Prefeito Municipal</w:t>
      </w:r>
      <w:r w:rsidRPr="00397AE3">
        <w:rPr>
          <w:rFonts w:ascii="Bookman Old Style" w:hAnsi="Bookman Old Style" w:cs="Times New Roman"/>
          <w:sz w:val="20"/>
          <w:szCs w:val="20"/>
        </w:rPr>
        <w:t xml:space="preserve">, Ricardo Antonio </w:t>
      </w:r>
      <w:proofErr w:type="spellStart"/>
      <w:r w:rsidRPr="00397AE3">
        <w:rPr>
          <w:rFonts w:ascii="Bookman Old Style" w:hAnsi="Bookman Old Style" w:cs="Times New Roman"/>
          <w:sz w:val="20"/>
          <w:szCs w:val="20"/>
        </w:rPr>
        <w:t>Ortina</w:t>
      </w:r>
      <w:proofErr w:type="spellEnd"/>
      <w:r w:rsidRPr="00397AE3">
        <w:rPr>
          <w:rFonts w:ascii="Bookman Old Style" w:hAnsi="Bookman Old Style" w:cs="Times New Roman"/>
          <w:sz w:val="20"/>
          <w:szCs w:val="20"/>
        </w:rPr>
        <w:t xml:space="preserve">, realizara Dispensa, com critério de julgamento </w:t>
      </w:r>
      <w:r w:rsidRPr="00397AE3">
        <w:rPr>
          <w:rFonts w:ascii="Bookman Old Style" w:hAnsi="Bookman Old Style" w:cs="Times New Roman"/>
          <w:i/>
          <w:iCs/>
          <w:sz w:val="20"/>
          <w:szCs w:val="20"/>
        </w:rPr>
        <w:t xml:space="preserve">menor preço, </w:t>
      </w:r>
      <w:r w:rsidRPr="00397AE3">
        <w:rPr>
          <w:rFonts w:ascii="Bookman Old Style" w:hAnsi="Bookman Old Style" w:cs="Times New Roman"/>
          <w:sz w:val="20"/>
          <w:szCs w:val="20"/>
        </w:rPr>
        <w:t xml:space="preserve">na hipótese do art. 75, </w:t>
      </w:r>
      <w:r w:rsidRPr="00397AE3">
        <w:rPr>
          <w:rFonts w:ascii="Bookman Old Style" w:hAnsi="Bookman Old Style" w:cs="Times New Roman"/>
          <w:i/>
          <w:iCs/>
          <w:sz w:val="20"/>
          <w:szCs w:val="20"/>
        </w:rPr>
        <w:t xml:space="preserve">inciso I OU II, </w:t>
      </w:r>
      <w:r w:rsidRPr="00397AE3">
        <w:rPr>
          <w:rFonts w:ascii="Bookman Old Style" w:hAnsi="Bookman Old Style" w:cs="Times New Roman"/>
          <w:sz w:val="20"/>
          <w:szCs w:val="20"/>
        </w:rPr>
        <w:t>nos termos da Lei n° 14.133, de 1° de abril de 2021, do Decreto Municipal n° 3.953/2022 e demais legislação aplicável.</w:t>
      </w:r>
    </w:p>
    <w:p w:rsidR="00877B43" w:rsidRPr="00397AE3" w:rsidRDefault="00877B43" w:rsidP="00877B43">
      <w:pPr>
        <w:autoSpaceDE w:val="0"/>
        <w:autoSpaceDN w:val="0"/>
        <w:adjustRightInd w:val="0"/>
        <w:spacing w:after="0" w:line="240" w:lineRule="auto"/>
        <w:jc w:val="both"/>
        <w:rPr>
          <w:rFonts w:ascii="Bookman Old Style" w:hAnsi="Bookman Old Style" w:cs="Times New Roman"/>
          <w:sz w:val="20"/>
          <w:szCs w:val="20"/>
        </w:rPr>
      </w:pPr>
    </w:p>
    <w:p w:rsidR="00877B43" w:rsidRPr="00397AE3" w:rsidRDefault="00877B43" w:rsidP="00877B43">
      <w:pPr>
        <w:autoSpaceDE w:val="0"/>
        <w:autoSpaceDN w:val="0"/>
        <w:adjustRightInd w:val="0"/>
        <w:spacing w:after="0" w:line="240" w:lineRule="auto"/>
        <w:rPr>
          <w:rFonts w:ascii="Bookman Old Style" w:hAnsi="Bookman Old Style" w:cs="Times New Roman"/>
          <w:sz w:val="20"/>
          <w:szCs w:val="20"/>
        </w:rPr>
      </w:pPr>
      <w:r>
        <w:rPr>
          <w:rFonts w:ascii="Bookman Old Style" w:hAnsi="Bookman Old Style" w:cs="Times New Roman"/>
          <w:sz w:val="20"/>
          <w:szCs w:val="20"/>
        </w:rPr>
        <w:t xml:space="preserve">Data da sessão: </w:t>
      </w:r>
      <w:r w:rsidR="009C78DD">
        <w:rPr>
          <w:rFonts w:ascii="Bookman Old Style" w:hAnsi="Bookman Old Style" w:cs="Times New Roman"/>
          <w:sz w:val="20"/>
          <w:szCs w:val="20"/>
        </w:rPr>
        <w:t>01/08/2023</w:t>
      </w:r>
    </w:p>
    <w:p w:rsidR="00877B43" w:rsidRPr="00397AE3" w:rsidRDefault="00877B43" w:rsidP="00877B43">
      <w:pPr>
        <w:autoSpaceDE w:val="0"/>
        <w:autoSpaceDN w:val="0"/>
        <w:adjustRightInd w:val="0"/>
        <w:spacing w:after="0" w:line="240" w:lineRule="auto"/>
        <w:rPr>
          <w:rFonts w:ascii="Bookman Old Style" w:hAnsi="Bookman Old Style" w:cs="Times New Roman"/>
          <w:sz w:val="20"/>
          <w:szCs w:val="20"/>
        </w:rPr>
      </w:pPr>
      <w:r w:rsidRPr="00397AE3">
        <w:rPr>
          <w:rFonts w:ascii="Bookman Old Style" w:hAnsi="Bookman Old Style" w:cs="Times New Roman"/>
          <w:sz w:val="20"/>
          <w:szCs w:val="20"/>
        </w:rPr>
        <w:t>Link: https://www.pmsas.pr.gov.br</w:t>
      </w:r>
    </w:p>
    <w:p w:rsidR="00877B43" w:rsidRPr="00397AE3"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397AE3">
        <w:rPr>
          <w:rFonts w:ascii="Bookman Old Style" w:hAnsi="Bookman Old Style" w:cs="Times New Roman"/>
          <w:sz w:val="20"/>
          <w:szCs w:val="20"/>
        </w:rPr>
        <w:t xml:space="preserve">Horário da </w:t>
      </w:r>
      <w:r>
        <w:rPr>
          <w:rFonts w:ascii="Bookman Old Style" w:hAnsi="Bookman Old Style" w:cs="Times New Roman"/>
          <w:sz w:val="20"/>
          <w:szCs w:val="20"/>
        </w:rPr>
        <w:t>abertura: 15</w:t>
      </w:r>
      <w:r w:rsidRPr="00397AE3">
        <w:rPr>
          <w:rFonts w:ascii="Bookman Old Style" w:hAnsi="Bookman Old Style" w:cs="Times New Roman"/>
          <w:sz w:val="20"/>
          <w:szCs w:val="20"/>
        </w:rPr>
        <w:t>:00h</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b/>
          <w:bCs/>
          <w:sz w:val="20"/>
          <w:szCs w:val="20"/>
        </w:rPr>
      </w:pPr>
    </w:p>
    <w:p w:rsidR="00877B43" w:rsidRPr="00236B43" w:rsidRDefault="00877B43" w:rsidP="00877B4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Pr>
          <w:rFonts w:ascii="Bookman Old Style" w:hAnsi="Bookman Old Style"/>
          <w:sz w:val="20"/>
          <w:szCs w:val="20"/>
        </w:rPr>
        <w:t>Constitui objeto deste a</w:t>
      </w:r>
      <w:r>
        <w:rPr>
          <w:rFonts w:ascii="Bookman Old Style" w:eastAsiaTheme="minorEastAsia" w:hAnsi="Bookman Old Style" w:cs="Arial"/>
          <w:color w:val="000000"/>
          <w:sz w:val="20"/>
          <w:szCs w:val="20"/>
          <w:lang w:eastAsia="pt-BR"/>
        </w:rPr>
        <w:t xml:space="preserve"> </w:t>
      </w:r>
      <w:r w:rsidRPr="00877B43">
        <w:rPr>
          <w:rFonts w:ascii="Bookman Old Style" w:eastAsiaTheme="minorEastAsia" w:hAnsi="Bookman Old Style" w:cs="Arial"/>
          <w:color w:val="000000"/>
          <w:sz w:val="20"/>
          <w:szCs w:val="20"/>
          <w:lang w:eastAsia="pt-BR"/>
        </w:rPr>
        <w:t>Aquisição de cabine completa para caminhão da frota da municipalidade, com serviço de mão de obra e pintura</w:t>
      </w:r>
      <w:r>
        <w:rPr>
          <w:rFonts w:ascii="Bookman Old Style" w:eastAsiaTheme="minorEastAsia" w:hAnsi="Bookman Old Style" w:cs="Arial"/>
          <w:color w:val="000000"/>
          <w:sz w:val="20"/>
          <w:szCs w:val="20"/>
          <w:lang w:eastAsia="pt-BR"/>
        </w:rPr>
        <w:t xml:space="preserve">, </w:t>
      </w:r>
      <w:r w:rsidRPr="006D5F4A">
        <w:rPr>
          <w:rFonts w:ascii="Bookman Old Style" w:eastAsiaTheme="minorEastAsia" w:hAnsi="Bookman Old Style" w:cs="Arial"/>
          <w:color w:val="000000"/>
          <w:sz w:val="20"/>
          <w:szCs w:val="20"/>
          <w:lang w:eastAsia="pt-BR"/>
        </w:rPr>
        <w:t>conforme condições, quantidades e exigências estabelecidas neste documento, conforme inciso I do § 1° do art. 18 da Lei nº 14.133, de 2021</w:t>
      </w:r>
      <w:r w:rsidRPr="007F6FDD">
        <w:rPr>
          <w:rFonts w:ascii="Bookman Old Style" w:hAnsi="Bookman Old Style"/>
          <w:bCs/>
          <w:color w:val="000000"/>
          <w:sz w:val="20"/>
          <w:szCs w:val="20"/>
        </w:rPr>
        <w:t>.</w:t>
      </w:r>
    </w:p>
    <w:tbl>
      <w:tblPr>
        <w:tblStyle w:val="Tabelacomgrade"/>
        <w:tblW w:w="9781" w:type="dxa"/>
        <w:tblInd w:w="-5" w:type="dxa"/>
        <w:tblLayout w:type="fixed"/>
        <w:tblLook w:val="04A0" w:firstRow="1" w:lastRow="0" w:firstColumn="1" w:lastColumn="0" w:noHBand="0" w:noVBand="1"/>
      </w:tblPr>
      <w:tblGrid>
        <w:gridCol w:w="426"/>
        <w:gridCol w:w="850"/>
        <w:gridCol w:w="3827"/>
        <w:gridCol w:w="1276"/>
        <w:gridCol w:w="992"/>
        <w:gridCol w:w="1134"/>
        <w:gridCol w:w="1276"/>
      </w:tblGrid>
      <w:tr w:rsidR="00877B43" w:rsidRPr="002668FE" w:rsidTr="00C910C9">
        <w:trPr>
          <w:trHeight w:val="221"/>
        </w:trPr>
        <w:tc>
          <w:tcPr>
            <w:tcW w:w="9781" w:type="dxa"/>
            <w:gridSpan w:val="7"/>
            <w:shd w:val="clear" w:color="auto" w:fill="D0CECE" w:themeFill="background2" w:themeFillShade="E6"/>
          </w:tcPr>
          <w:p w:rsidR="00877B43" w:rsidRPr="002668FE" w:rsidRDefault="00877B43" w:rsidP="00C910C9">
            <w:pPr>
              <w:rPr>
                <w:rFonts w:ascii="Bookman Old Style" w:eastAsia="PMingLiU" w:hAnsi="Bookman Old Style"/>
                <w:bCs/>
                <w:sz w:val="16"/>
                <w:szCs w:val="16"/>
              </w:rPr>
            </w:pPr>
            <w:r w:rsidRPr="002668FE">
              <w:rPr>
                <w:rFonts w:ascii="Bookman Old Style" w:eastAsia="PMingLiU" w:hAnsi="Bookman Old Style"/>
                <w:bCs/>
                <w:sz w:val="16"/>
                <w:szCs w:val="16"/>
              </w:rPr>
              <w:t>Lote: 1 – Lote 001</w:t>
            </w:r>
          </w:p>
        </w:tc>
      </w:tr>
      <w:tr w:rsidR="00877B43" w:rsidRPr="002668FE" w:rsidTr="00C910C9">
        <w:trPr>
          <w:trHeight w:val="748"/>
        </w:trPr>
        <w:tc>
          <w:tcPr>
            <w:tcW w:w="426" w:type="dxa"/>
            <w:shd w:val="clear" w:color="auto" w:fill="D0CECE" w:themeFill="background2" w:themeFillShade="E6"/>
          </w:tcPr>
          <w:p w:rsidR="00877B43" w:rsidRPr="002668FE" w:rsidRDefault="00877B43" w:rsidP="00C910C9">
            <w:pPr>
              <w:ind w:right="-108" w:hanging="108"/>
              <w:rPr>
                <w:rFonts w:ascii="Bookman Old Style" w:eastAsia="PMingLiU" w:hAnsi="Bookman Old Style"/>
                <w:bCs/>
                <w:sz w:val="16"/>
                <w:szCs w:val="16"/>
              </w:rPr>
            </w:pPr>
            <w:r w:rsidRPr="002668FE">
              <w:rPr>
                <w:rFonts w:ascii="Bookman Old Style" w:eastAsia="PMingLiU" w:hAnsi="Bookman Old Style"/>
                <w:bCs/>
                <w:sz w:val="16"/>
                <w:szCs w:val="16"/>
              </w:rPr>
              <w:t>Item</w:t>
            </w:r>
          </w:p>
        </w:tc>
        <w:tc>
          <w:tcPr>
            <w:tcW w:w="850" w:type="dxa"/>
            <w:shd w:val="clear" w:color="auto" w:fill="D0CECE" w:themeFill="background2" w:themeFillShade="E6"/>
          </w:tcPr>
          <w:p w:rsidR="00877B43" w:rsidRPr="002668FE" w:rsidRDefault="00877B43" w:rsidP="00C910C9">
            <w:pPr>
              <w:ind w:left="-25" w:hanging="15"/>
              <w:rPr>
                <w:rFonts w:ascii="Bookman Old Style" w:eastAsia="PMingLiU" w:hAnsi="Bookman Old Style"/>
                <w:bCs/>
                <w:sz w:val="16"/>
                <w:szCs w:val="16"/>
              </w:rPr>
            </w:pPr>
            <w:r w:rsidRPr="002668FE">
              <w:rPr>
                <w:rFonts w:ascii="Bookman Old Style" w:eastAsia="PMingLiU" w:hAnsi="Bookman Old Style"/>
                <w:bCs/>
                <w:sz w:val="16"/>
                <w:szCs w:val="16"/>
              </w:rPr>
              <w:t>Código do produto/serviço</w:t>
            </w:r>
          </w:p>
        </w:tc>
        <w:tc>
          <w:tcPr>
            <w:tcW w:w="3827" w:type="dxa"/>
            <w:shd w:val="clear" w:color="auto" w:fill="D0CECE" w:themeFill="background2" w:themeFillShade="E6"/>
          </w:tcPr>
          <w:p w:rsidR="00877B43" w:rsidRPr="002668FE" w:rsidRDefault="00877B43" w:rsidP="00C910C9">
            <w:pPr>
              <w:ind w:left="-108"/>
              <w:rPr>
                <w:rFonts w:ascii="Bookman Old Style" w:eastAsia="PMingLiU" w:hAnsi="Bookman Old Style"/>
                <w:bCs/>
                <w:sz w:val="16"/>
                <w:szCs w:val="16"/>
              </w:rPr>
            </w:pPr>
            <w:r w:rsidRPr="002668FE">
              <w:rPr>
                <w:rFonts w:ascii="Bookman Old Style" w:eastAsia="PMingLiU" w:hAnsi="Bookman Old Style"/>
                <w:bCs/>
                <w:sz w:val="16"/>
                <w:szCs w:val="16"/>
              </w:rPr>
              <w:t>Nome do produto/serviço</w:t>
            </w:r>
          </w:p>
        </w:tc>
        <w:tc>
          <w:tcPr>
            <w:tcW w:w="1276" w:type="dxa"/>
            <w:shd w:val="clear" w:color="auto" w:fill="D0CECE" w:themeFill="background2" w:themeFillShade="E6"/>
          </w:tcPr>
          <w:p w:rsidR="00877B43" w:rsidRPr="002668FE" w:rsidRDefault="00877B43" w:rsidP="00C910C9">
            <w:pPr>
              <w:ind w:right="34"/>
              <w:rPr>
                <w:rFonts w:ascii="Bookman Old Style" w:eastAsia="PMingLiU" w:hAnsi="Bookman Old Style"/>
                <w:bCs/>
                <w:sz w:val="16"/>
                <w:szCs w:val="16"/>
              </w:rPr>
            </w:pPr>
            <w:r w:rsidRPr="002668FE">
              <w:rPr>
                <w:rFonts w:ascii="Bookman Old Style" w:eastAsia="PMingLiU" w:hAnsi="Bookman Old Style"/>
                <w:bCs/>
                <w:sz w:val="16"/>
                <w:szCs w:val="16"/>
              </w:rPr>
              <w:t>Quantidade</w:t>
            </w:r>
          </w:p>
        </w:tc>
        <w:tc>
          <w:tcPr>
            <w:tcW w:w="992" w:type="dxa"/>
            <w:shd w:val="clear" w:color="auto" w:fill="D0CECE" w:themeFill="background2" w:themeFillShade="E6"/>
          </w:tcPr>
          <w:p w:rsidR="00877B43" w:rsidRPr="002668FE" w:rsidRDefault="00877B43" w:rsidP="00C910C9">
            <w:pPr>
              <w:rPr>
                <w:rFonts w:ascii="Bookman Old Style" w:eastAsia="PMingLiU" w:hAnsi="Bookman Old Style"/>
                <w:bCs/>
                <w:sz w:val="16"/>
                <w:szCs w:val="16"/>
              </w:rPr>
            </w:pPr>
            <w:r w:rsidRPr="002668FE">
              <w:rPr>
                <w:rFonts w:ascii="Bookman Old Style" w:eastAsia="PMingLiU" w:hAnsi="Bookman Old Style"/>
                <w:bCs/>
                <w:sz w:val="16"/>
                <w:szCs w:val="16"/>
              </w:rPr>
              <w:t>Unidade</w:t>
            </w:r>
          </w:p>
        </w:tc>
        <w:tc>
          <w:tcPr>
            <w:tcW w:w="1134" w:type="dxa"/>
            <w:shd w:val="clear" w:color="auto" w:fill="D0CECE" w:themeFill="background2" w:themeFillShade="E6"/>
          </w:tcPr>
          <w:p w:rsidR="00877B43" w:rsidRPr="002668FE" w:rsidRDefault="00877B43" w:rsidP="00C910C9">
            <w:pPr>
              <w:rPr>
                <w:rFonts w:ascii="Bookman Old Style" w:eastAsia="PMingLiU" w:hAnsi="Bookman Old Style"/>
                <w:bCs/>
                <w:sz w:val="16"/>
                <w:szCs w:val="16"/>
              </w:rPr>
            </w:pPr>
            <w:r w:rsidRPr="002668FE">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877B43" w:rsidRPr="002668FE" w:rsidRDefault="00877B43" w:rsidP="00C910C9">
            <w:pPr>
              <w:rPr>
                <w:rFonts w:ascii="Bookman Old Style" w:eastAsia="PMingLiU" w:hAnsi="Bookman Old Style"/>
                <w:bCs/>
                <w:sz w:val="16"/>
                <w:szCs w:val="16"/>
              </w:rPr>
            </w:pPr>
            <w:r w:rsidRPr="002668FE">
              <w:rPr>
                <w:rFonts w:ascii="Bookman Old Style" w:eastAsia="PMingLiU" w:hAnsi="Bookman Old Style"/>
                <w:bCs/>
                <w:sz w:val="16"/>
                <w:szCs w:val="16"/>
              </w:rPr>
              <w:t>Preço máximo total</w:t>
            </w:r>
          </w:p>
        </w:tc>
      </w:tr>
      <w:tr w:rsidR="00877B43" w:rsidRPr="002668FE" w:rsidTr="00C910C9">
        <w:trPr>
          <w:trHeight w:val="221"/>
        </w:trPr>
        <w:tc>
          <w:tcPr>
            <w:tcW w:w="426" w:type="dxa"/>
          </w:tcPr>
          <w:p w:rsidR="00877B43" w:rsidRPr="002668FE" w:rsidRDefault="00877B43" w:rsidP="00C910C9">
            <w:pPr>
              <w:rPr>
                <w:rFonts w:ascii="Bookman Old Style" w:eastAsia="PMingLiU" w:hAnsi="Bookman Old Style"/>
                <w:bCs/>
                <w:sz w:val="16"/>
                <w:szCs w:val="16"/>
              </w:rPr>
            </w:pPr>
            <w:r w:rsidRPr="002668FE">
              <w:rPr>
                <w:rFonts w:ascii="Bookman Old Style" w:eastAsia="PMingLiU" w:hAnsi="Bookman Old Style"/>
                <w:bCs/>
                <w:sz w:val="16"/>
                <w:szCs w:val="16"/>
              </w:rPr>
              <w:t>01</w:t>
            </w:r>
          </w:p>
        </w:tc>
        <w:tc>
          <w:tcPr>
            <w:tcW w:w="850" w:type="dxa"/>
          </w:tcPr>
          <w:p w:rsidR="00877B43" w:rsidRPr="002668FE" w:rsidRDefault="008104EA" w:rsidP="00C910C9">
            <w:pPr>
              <w:rPr>
                <w:rFonts w:ascii="Bookman Old Style" w:eastAsia="PMingLiU" w:hAnsi="Bookman Old Style"/>
                <w:bCs/>
                <w:sz w:val="16"/>
                <w:szCs w:val="16"/>
              </w:rPr>
            </w:pPr>
            <w:r>
              <w:rPr>
                <w:rFonts w:ascii="Bookman Old Style" w:eastAsia="PMingLiU" w:hAnsi="Bookman Old Style"/>
                <w:bCs/>
                <w:sz w:val="16"/>
                <w:szCs w:val="16"/>
              </w:rPr>
              <w:t>23331</w:t>
            </w:r>
          </w:p>
        </w:tc>
        <w:tc>
          <w:tcPr>
            <w:tcW w:w="3827" w:type="dxa"/>
          </w:tcPr>
          <w:p w:rsidR="00877B43" w:rsidRPr="002668FE" w:rsidRDefault="00877B43" w:rsidP="00C910C9">
            <w:pPr>
              <w:rPr>
                <w:rFonts w:ascii="Bookman Old Style" w:eastAsia="PMingLiU" w:hAnsi="Bookman Old Style"/>
                <w:bCs/>
                <w:sz w:val="16"/>
                <w:szCs w:val="16"/>
              </w:rPr>
            </w:pPr>
            <w:r>
              <w:rPr>
                <w:rFonts w:ascii="Bookman Old Style" w:eastAsia="PMingLiU" w:hAnsi="Bookman Old Style"/>
                <w:bCs/>
                <w:sz w:val="16"/>
                <w:szCs w:val="16"/>
              </w:rPr>
              <w:t>CABINE COMPLETA – FORD CARGO 2013</w:t>
            </w:r>
          </w:p>
        </w:tc>
        <w:tc>
          <w:tcPr>
            <w:tcW w:w="1276"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PEÇA</w:t>
            </w:r>
          </w:p>
        </w:tc>
        <w:tc>
          <w:tcPr>
            <w:tcW w:w="1134"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50.000,00</w:t>
            </w:r>
          </w:p>
        </w:tc>
        <w:tc>
          <w:tcPr>
            <w:tcW w:w="1276"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50.000,00</w:t>
            </w:r>
          </w:p>
        </w:tc>
      </w:tr>
      <w:tr w:rsidR="00877B43" w:rsidRPr="002668FE" w:rsidTr="00C910C9">
        <w:trPr>
          <w:trHeight w:val="221"/>
        </w:trPr>
        <w:tc>
          <w:tcPr>
            <w:tcW w:w="426" w:type="dxa"/>
          </w:tcPr>
          <w:p w:rsidR="00877B43" w:rsidRPr="002668FE" w:rsidRDefault="00877B43" w:rsidP="00C910C9">
            <w:pPr>
              <w:rPr>
                <w:rFonts w:ascii="Bookman Old Style" w:eastAsia="PMingLiU" w:hAnsi="Bookman Old Style"/>
                <w:bCs/>
                <w:sz w:val="16"/>
                <w:szCs w:val="16"/>
              </w:rPr>
            </w:pPr>
            <w:r w:rsidRPr="002668FE">
              <w:rPr>
                <w:rFonts w:ascii="Bookman Old Style" w:eastAsia="PMingLiU" w:hAnsi="Bookman Old Style"/>
                <w:bCs/>
                <w:sz w:val="16"/>
                <w:szCs w:val="16"/>
              </w:rPr>
              <w:t>02</w:t>
            </w:r>
          </w:p>
        </w:tc>
        <w:tc>
          <w:tcPr>
            <w:tcW w:w="850" w:type="dxa"/>
          </w:tcPr>
          <w:p w:rsidR="00877B43" w:rsidRPr="002668FE" w:rsidRDefault="008104EA" w:rsidP="00C910C9">
            <w:pPr>
              <w:rPr>
                <w:rFonts w:ascii="Bookman Old Style" w:eastAsia="PMingLiU" w:hAnsi="Bookman Old Style"/>
                <w:bCs/>
                <w:sz w:val="16"/>
                <w:szCs w:val="16"/>
              </w:rPr>
            </w:pPr>
            <w:r>
              <w:rPr>
                <w:rFonts w:ascii="Bookman Old Style" w:eastAsia="PMingLiU" w:hAnsi="Bookman Old Style"/>
                <w:bCs/>
                <w:sz w:val="16"/>
                <w:szCs w:val="16"/>
              </w:rPr>
              <w:t>23332</w:t>
            </w:r>
            <w:bookmarkStart w:id="0" w:name="_GoBack"/>
            <w:bookmarkEnd w:id="0"/>
          </w:p>
        </w:tc>
        <w:tc>
          <w:tcPr>
            <w:tcW w:w="3827" w:type="dxa"/>
          </w:tcPr>
          <w:p w:rsidR="00877B43" w:rsidRPr="007C6F1C" w:rsidRDefault="00877B43" w:rsidP="00C910C9">
            <w:pPr>
              <w:pStyle w:val="ParagraphStyle"/>
              <w:rPr>
                <w:rFonts w:ascii="Bookman Old Style" w:hAnsi="Bookman Old Style"/>
                <w:sz w:val="16"/>
                <w:szCs w:val="16"/>
              </w:rPr>
            </w:pPr>
            <w:r w:rsidRPr="007C6F1C">
              <w:rPr>
                <w:rFonts w:ascii="Bookman Old Style" w:hAnsi="Bookman Old Style"/>
                <w:sz w:val="16"/>
                <w:szCs w:val="16"/>
              </w:rPr>
              <w:t>SERVIÇO DE MÃO DE OBRA E PINTURA</w:t>
            </w:r>
          </w:p>
        </w:tc>
        <w:tc>
          <w:tcPr>
            <w:tcW w:w="1276"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134"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14.000,00</w:t>
            </w:r>
          </w:p>
        </w:tc>
        <w:tc>
          <w:tcPr>
            <w:tcW w:w="1276" w:type="dxa"/>
          </w:tcPr>
          <w:p w:rsidR="00877B43" w:rsidRPr="002668FE" w:rsidRDefault="00877B43" w:rsidP="00C910C9">
            <w:pPr>
              <w:jc w:val="center"/>
              <w:rPr>
                <w:rFonts w:ascii="Bookman Old Style" w:eastAsia="PMingLiU" w:hAnsi="Bookman Old Style"/>
                <w:bCs/>
                <w:sz w:val="16"/>
                <w:szCs w:val="16"/>
              </w:rPr>
            </w:pPr>
            <w:r>
              <w:rPr>
                <w:rFonts w:ascii="Bookman Old Style" w:eastAsia="PMingLiU" w:hAnsi="Bookman Old Style"/>
                <w:bCs/>
                <w:sz w:val="16"/>
                <w:szCs w:val="16"/>
              </w:rPr>
              <w:t>14.000,00</w:t>
            </w:r>
          </w:p>
        </w:tc>
      </w:tr>
      <w:tr w:rsidR="00877B43" w:rsidRPr="002668FE" w:rsidTr="00C910C9">
        <w:trPr>
          <w:trHeight w:val="221"/>
        </w:trPr>
        <w:tc>
          <w:tcPr>
            <w:tcW w:w="8505" w:type="dxa"/>
            <w:gridSpan w:val="6"/>
          </w:tcPr>
          <w:p w:rsidR="00877B43" w:rsidRPr="00415394" w:rsidRDefault="00877B43" w:rsidP="00C910C9">
            <w:pPr>
              <w:rPr>
                <w:rFonts w:ascii="Bookman Old Style" w:eastAsia="PMingLiU" w:hAnsi="Bookman Old Style"/>
                <w:b/>
                <w:bCs/>
                <w:sz w:val="16"/>
                <w:szCs w:val="16"/>
              </w:rPr>
            </w:pPr>
            <w:r w:rsidRPr="00415394">
              <w:rPr>
                <w:rFonts w:ascii="Bookman Old Style" w:eastAsia="PMingLiU" w:hAnsi="Bookman Old Style"/>
                <w:b/>
                <w:bCs/>
                <w:sz w:val="16"/>
                <w:szCs w:val="16"/>
              </w:rPr>
              <w:t>TOTAL</w:t>
            </w:r>
          </w:p>
        </w:tc>
        <w:tc>
          <w:tcPr>
            <w:tcW w:w="1276" w:type="dxa"/>
          </w:tcPr>
          <w:p w:rsidR="00877B43" w:rsidRPr="00415394" w:rsidRDefault="00877B43" w:rsidP="00C910C9">
            <w:pPr>
              <w:jc w:val="center"/>
              <w:rPr>
                <w:rFonts w:ascii="Bookman Old Style" w:eastAsia="PMingLiU" w:hAnsi="Bookman Old Style"/>
                <w:b/>
                <w:bCs/>
                <w:sz w:val="16"/>
                <w:szCs w:val="16"/>
              </w:rPr>
            </w:pPr>
            <w:r>
              <w:rPr>
                <w:rFonts w:ascii="Bookman Old Style" w:eastAsia="PMingLiU" w:hAnsi="Bookman Old Style"/>
                <w:b/>
                <w:bCs/>
                <w:sz w:val="16"/>
                <w:szCs w:val="16"/>
              </w:rPr>
              <w:t>64.000,00</w:t>
            </w:r>
          </w:p>
        </w:tc>
      </w:tr>
    </w:tbl>
    <w:p w:rsidR="00877B43" w:rsidRPr="00F20095" w:rsidRDefault="00877B43" w:rsidP="00877B4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877B43" w:rsidRPr="00F20095" w:rsidRDefault="00877B43" w:rsidP="00877B4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877B43" w:rsidRPr="00F20095" w:rsidRDefault="00877B43" w:rsidP="00877B4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877B43" w:rsidRPr="00F20095" w:rsidRDefault="00877B43" w:rsidP="00877B4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877B43" w:rsidRPr="00F20095" w:rsidRDefault="00877B43" w:rsidP="00877B43">
      <w:pPr>
        <w:pStyle w:val="PargrafodaLista"/>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877B43" w:rsidRPr="00F20095" w:rsidRDefault="00877B43" w:rsidP="00877B43">
      <w:pPr>
        <w:tabs>
          <w:tab w:val="left" w:pos="1980"/>
        </w:tabs>
        <w:jc w:val="both"/>
        <w:rPr>
          <w:rFonts w:ascii="Bookman Old Style" w:hAnsi="Bookman Old Style"/>
          <w:sz w:val="20"/>
          <w:szCs w:val="20"/>
        </w:rPr>
      </w:pPr>
    </w:p>
    <w:p w:rsidR="00877B43" w:rsidRPr="00F20095" w:rsidRDefault="00877B43" w:rsidP="00877B43">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877B43" w:rsidRPr="00F20095" w:rsidRDefault="00877B43" w:rsidP="00877B4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877B43" w:rsidRPr="00F20095" w:rsidRDefault="00877B43" w:rsidP="00877B43">
      <w:pPr>
        <w:pStyle w:val="PargrafodaLista"/>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877B43" w:rsidRPr="00F20095" w:rsidRDefault="00877B43" w:rsidP="00877B43">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877B43" w:rsidRPr="00F20095" w:rsidRDefault="00877B43" w:rsidP="00877B43">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877B43" w:rsidRPr="00F20095" w:rsidRDefault="00877B43" w:rsidP="00877B43">
      <w:pPr>
        <w:pStyle w:val="PargrafodaLista"/>
        <w:autoSpaceDE w:val="0"/>
        <w:autoSpaceDN w:val="0"/>
        <w:adjustRightInd w:val="0"/>
        <w:spacing w:after="0" w:line="240" w:lineRule="auto"/>
        <w:rPr>
          <w:rFonts w:ascii="Bookman Old Style" w:hAnsi="Bookman Old Style" w:cs="Times New Roman"/>
          <w:sz w:val="20"/>
          <w:szCs w:val="20"/>
        </w:rPr>
      </w:pPr>
    </w:p>
    <w:p w:rsidR="00877B43" w:rsidRPr="00F20095" w:rsidRDefault="00877B43" w:rsidP="00877B43">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877B43" w:rsidRPr="00F20095" w:rsidRDefault="00877B43" w:rsidP="00877B43">
      <w:pPr>
        <w:pStyle w:val="PargrafodaLista"/>
        <w:tabs>
          <w:tab w:val="left" w:pos="1980"/>
        </w:tabs>
        <w:jc w:val="both"/>
        <w:rPr>
          <w:rFonts w:ascii="Bookman Old Style" w:hAnsi="Bookman Old Style" w:cs="Times New Roman"/>
          <w:sz w:val="20"/>
          <w:szCs w:val="20"/>
        </w:rPr>
      </w:pPr>
    </w:p>
    <w:p w:rsidR="00877B43" w:rsidRPr="00F20095" w:rsidRDefault="00877B43" w:rsidP="00877B43">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877B43" w:rsidRPr="00F20095" w:rsidRDefault="00877B43" w:rsidP="00877B43">
      <w:pPr>
        <w:pStyle w:val="PargrafodaLista"/>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877B43" w:rsidRPr="00F20095" w:rsidRDefault="00877B43" w:rsidP="00877B43">
      <w:pPr>
        <w:pStyle w:val="PargrafodaLista"/>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lastRenderedPageBreak/>
        <w:t>a) autor do anteprojeto, do projeto básico ou do projeto executivo, pessoa física ou jurídica,</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
    <w:p w:rsidR="00877B43" w:rsidRPr="00F20095" w:rsidRDefault="00877B43" w:rsidP="00877B43">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877B43" w:rsidRPr="00F20095" w:rsidRDefault="00877B43" w:rsidP="00877B43">
      <w:pPr>
        <w:autoSpaceDE w:val="0"/>
        <w:autoSpaceDN w:val="0"/>
        <w:adjustRightInd w:val="0"/>
        <w:spacing w:after="0" w:line="240" w:lineRule="auto"/>
        <w:jc w:val="both"/>
        <w:rPr>
          <w:rFonts w:ascii="Bookman Old Style" w:hAnsi="Bookman Old Style"/>
          <w:sz w:val="20"/>
          <w:szCs w:val="20"/>
        </w:rPr>
      </w:pP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877B43" w:rsidRPr="00F20095" w:rsidRDefault="00877B43" w:rsidP="00877B43">
      <w:pPr>
        <w:autoSpaceDE w:val="0"/>
        <w:autoSpaceDN w:val="0"/>
        <w:adjustRightInd w:val="0"/>
        <w:spacing w:after="0" w:line="240" w:lineRule="auto"/>
        <w:jc w:val="both"/>
        <w:rPr>
          <w:rFonts w:ascii="Bookman Old Style" w:hAnsi="Bookman Old Style" w:cs="Times New Roman"/>
          <w:sz w:val="20"/>
          <w:szCs w:val="20"/>
        </w:rPr>
      </w:pPr>
    </w:p>
    <w:p w:rsidR="00877B43" w:rsidRPr="00F20095" w:rsidRDefault="00877B43" w:rsidP="00877B4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877B43" w:rsidRPr="00F20095" w:rsidRDefault="00877B43" w:rsidP="00877B43">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877B43" w:rsidRPr="00F20095" w:rsidRDefault="00877B43" w:rsidP="00877B43">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877B43" w:rsidRPr="00F20095" w:rsidRDefault="00877B43" w:rsidP="00877B43">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877B43" w:rsidRPr="00F20095" w:rsidRDefault="00877B43" w:rsidP="00877B4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877B43" w:rsidRPr="00F20095" w:rsidRDefault="00877B43" w:rsidP="00877B43">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877B43" w:rsidRPr="00F20095" w:rsidRDefault="00877B43" w:rsidP="00877B43">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877B43" w:rsidRPr="00F20095" w:rsidRDefault="00877B43" w:rsidP="00877B4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877B43" w:rsidRPr="00F20095" w:rsidRDefault="00877B43" w:rsidP="00877B4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Todas as especificações do objeto contidas na proposta, em especial o preço, vinculam a Contratada.</w:t>
      </w:r>
    </w:p>
    <w:p w:rsidR="00877B43" w:rsidRPr="00F20095" w:rsidRDefault="00877B43" w:rsidP="00877B4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877B43" w:rsidRPr="00B46A4B" w:rsidRDefault="00877B43" w:rsidP="00877B43">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877B43" w:rsidRPr="00F20095" w:rsidRDefault="00877B43" w:rsidP="00877B43">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877B43" w:rsidRPr="00F20095" w:rsidRDefault="00877B43" w:rsidP="00877B43">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877B43" w:rsidRPr="00F20095" w:rsidRDefault="00877B43" w:rsidP="00877B43">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877B43" w:rsidRPr="00F20095" w:rsidRDefault="00877B43" w:rsidP="00877B4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877B43" w:rsidRPr="00F20095" w:rsidRDefault="00877B43" w:rsidP="00877B43">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Neste caso, será encaminhada contraproposta ao fornecedor que tenha apresentado o melhor preço, para que seja obtida melhor proposta com preço compatível ao estimado pela Administração.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877B43" w:rsidRPr="00F20095" w:rsidRDefault="00877B43" w:rsidP="00877B43">
      <w:pPr>
        <w:pStyle w:val="PargrafodaLista"/>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877B43" w:rsidRPr="00F20095" w:rsidRDefault="00877B43" w:rsidP="00877B4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877B43" w:rsidRPr="00F20095" w:rsidRDefault="00877B43" w:rsidP="00877B43">
      <w:pPr>
        <w:pStyle w:val="PargrafodaLista"/>
        <w:spacing w:before="120" w:after="120" w:line="276" w:lineRule="auto"/>
        <w:ind w:left="0"/>
        <w:jc w:val="both"/>
        <w:rPr>
          <w:rFonts w:ascii="Bookman Old Style" w:hAnsi="Bookman Old Style" w:cs="Arial"/>
          <w:i/>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877B43" w:rsidRPr="00F20095" w:rsidRDefault="00877B43" w:rsidP="00877B43">
      <w:pPr>
        <w:pStyle w:val="PargrafodaLista"/>
        <w:spacing w:before="120" w:after="120" w:line="276" w:lineRule="auto"/>
        <w:ind w:left="0" w:right="-15"/>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lastRenderedPageBreak/>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877B43" w:rsidRPr="00F20095" w:rsidRDefault="00877B43" w:rsidP="00877B43">
      <w:pPr>
        <w:pStyle w:val="PargrafodaLista"/>
        <w:spacing w:before="120" w:after="120" w:line="276" w:lineRule="auto"/>
        <w:ind w:left="0" w:right="-15"/>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877B43" w:rsidRPr="00F20095" w:rsidRDefault="00877B43" w:rsidP="00877B43">
      <w:pPr>
        <w:pStyle w:val="PargrafodaLista"/>
        <w:spacing w:before="120" w:after="120" w:line="276" w:lineRule="auto"/>
        <w:ind w:left="0"/>
        <w:jc w:val="both"/>
        <w:rPr>
          <w:rFonts w:ascii="Bookman Old Style" w:hAnsi="Bookman Old Style" w:cs="Arial"/>
          <w:iCs/>
          <w:sz w:val="20"/>
          <w:szCs w:val="20"/>
        </w:rPr>
      </w:pPr>
    </w:p>
    <w:p w:rsidR="00877B43" w:rsidRPr="00F20095" w:rsidRDefault="00877B43" w:rsidP="00877B43">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877B43" w:rsidRPr="00F20095" w:rsidRDefault="00877B43" w:rsidP="00877B43">
      <w:pPr>
        <w:pStyle w:val="PargrafodaLista"/>
        <w:spacing w:before="120" w:after="120" w:line="276" w:lineRule="auto"/>
        <w:ind w:left="495"/>
        <w:jc w:val="both"/>
        <w:rPr>
          <w:rFonts w:ascii="Bookman Old Style" w:hAnsi="Bookman Old Style" w:cs="Arial"/>
          <w:b/>
          <w:iCs/>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877B43" w:rsidRPr="00F20095" w:rsidRDefault="00877B43" w:rsidP="00877B43">
      <w:pPr>
        <w:pStyle w:val="PargrafodaLista"/>
        <w:spacing w:before="120" w:after="120" w:line="276" w:lineRule="auto"/>
        <w:ind w:left="0"/>
        <w:jc w:val="both"/>
        <w:rPr>
          <w:rFonts w:ascii="Bookman Old Style" w:hAnsi="Bookman Old Style" w:cs="Arial"/>
          <w:b/>
          <w:sz w:val="20"/>
          <w:szCs w:val="20"/>
          <w:lang w:eastAsia="ar-SA"/>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877B43" w:rsidRPr="00F20095" w:rsidRDefault="00877B43" w:rsidP="00877B43">
      <w:pPr>
        <w:pStyle w:val="PargrafodaLista"/>
        <w:spacing w:before="120" w:after="120" w:line="276" w:lineRule="auto"/>
        <w:ind w:left="0"/>
        <w:jc w:val="both"/>
        <w:rPr>
          <w:rFonts w:ascii="Bookman Old Style" w:hAnsi="Bookman Old Style" w:cs="Arial"/>
          <w:bCs/>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877B43" w:rsidRPr="00F20095" w:rsidRDefault="00877B43" w:rsidP="00877B43">
      <w:pPr>
        <w:pStyle w:val="PargrafodaLista"/>
        <w:spacing w:before="120" w:after="120" w:line="276" w:lineRule="auto"/>
        <w:ind w:left="0"/>
        <w:jc w:val="both"/>
        <w:rPr>
          <w:rFonts w:ascii="Bookman Old Style" w:hAnsi="Bookman Old Style" w:cs="Arial"/>
          <w:sz w:val="20"/>
          <w:szCs w:val="20"/>
        </w:rPr>
      </w:pPr>
    </w:p>
    <w:p w:rsidR="00877B43" w:rsidRPr="00F20095" w:rsidRDefault="00877B43" w:rsidP="00877B43">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877B43" w:rsidRPr="00F20095" w:rsidRDefault="00877B43" w:rsidP="00877B43">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877B43" w:rsidRPr="00F20095" w:rsidRDefault="00877B43" w:rsidP="00877B43">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877B43" w:rsidRPr="00F20095" w:rsidRDefault="00877B43" w:rsidP="00877B43">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877B43" w:rsidRPr="00F20095" w:rsidRDefault="00877B43" w:rsidP="00877B43">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877B43" w:rsidRPr="00F20095" w:rsidRDefault="00877B43" w:rsidP="00877B43">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877B43" w:rsidRPr="00F20095" w:rsidRDefault="00877B43" w:rsidP="00877B43">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877B43" w:rsidRPr="00F20095" w:rsidRDefault="00877B43" w:rsidP="00877B43">
      <w:pPr>
        <w:widowControl w:val="0"/>
        <w:spacing w:after="0" w:line="240" w:lineRule="auto"/>
        <w:jc w:val="both"/>
        <w:rPr>
          <w:rFonts w:ascii="Bookman Old Style" w:hAnsi="Bookman Old Style" w:cs="Arial"/>
          <w:b/>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877B43" w:rsidRPr="00F20095" w:rsidRDefault="00877B43" w:rsidP="00877B43">
      <w:pPr>
        <w:pStyle w:val="PargrafodaLista"/>
        <w:widowControl w:val="0"/>
        <w:spacing w:after="0" w:line="240" w:lineRule="auto"/>
        <w:ind w:left="0"/>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877B43" w:rsidRPr="00F20095" w:rsidRDefault="00877B43" w:rsidP="00877B43">
      <w:pPr>
        <w:widowControl w:val="0"/>
        <w:spacing w:after="0" w:line="240" w:lineRule="auto"/>
        <w:jc w:val="both"/>
        <w:rPr>
          <w:rFonts w:ascii="Bookman Old Style" w:hAnsi="Bookman Old Style" w:cs="Arial"/>
          <w:b/>
          <w:sz w:val="20"/>
          <w:szCs w:val="20"/>
        </w:rPr>
      </w:pPr>
    </w:p>
    <w:p w:rsidR="00877B43" w:rsidRPr="00F20095" w:rsidRDefault="00877B43" w:rsidP="00877B4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877B43" w:rsidRPr="00F20095" w:rsidRDefault="00877B43" w:rsidP="00877B43">
      <w:pPr>
        <w:widowControl w:val="0"/>
        <w:spacing w:after="0" w:line="240" w:lineRule="auto"/>
        <w:jc w:val="both"/>
        <w:rPr>
          <w:rFonts w:ascii="Bookman Old Style" w:hAnsi="Bookman Old Style" w:cs="Arial"/>
          <w:i/>
          <w:iCs/>
          <w:sz w:val="20"/>
          <w:szCs w:val="20"/>
        </w:rPr>
      </w:pPr>
    </w:p>
    <w:p w:rsidR="00877B43" w:rsidRPr="00F20095" w:rsidRDefault="00877B43" w:rsidP="00877B4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877B43" w:rsidRPr="00F20095" w:rsidRDefault="00877B43" w:rsidP="00877B43">
      <w:pPr>
        <w:widowControl w:val="0"/>
        <w:spacing w:after="0" w:line="240" w:lineRule="auto"/>
        <w:jc w:val="both"/>
        <w:rPr>
          <w:rFonts w:ascii="Bookman Old Style" w:hAnsi="Bookman Old Style" w:cs="Arial"/>
          <w:bCs/>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877B43" w:rsidRPr="00F20095" w:rsidRDefault="00877B43" w:rsidP="00877B43">
      <w:pPr>
        <w:widowControl w:val="0"/>
        <w:spacing w:after="0" w:line="240" w:lineRule="auto"/>
        <w:jc w:val="both"/>
        <w:rPr>
          <w:rFonts w:ascii="Bookman Old Style" w:hAnsi="Bookman Old Style" w:cs="Arial"/>
          <w:bCs/>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877B43" w:rsidRPr="00F20095" w:rsidRDefault="00877B43" w:rsidP="00877B43">
      <w:pPr>
        <w:widowControl w:val="0"/>
        <w:spacing w:after="0" w:line="240" w:lineRule="auto"/>
        <w:jc w:val="both"/>
        <w:rPr>
          <w:rFonts w:ascii="Bookman Old Style" w:hAnsi="Bookman Old Style" w:cs="Arial"/>
          <w:bCs/>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877B43" w:rsidRPr="00F20095" w:rsidRDefault="00877B43" w:rsidP="00877B43">
      <w:pPr>
        <w:widowControl w:val="0"/>
        <w:spacing w:after="0" w:line="240" w:lineRule="auto"/>
        <w:jc w:val="both"/>
        <w:rPr>
          <w:rFonts w:ascii="Bookman Old Style" w:hAnsi="Bookman Old Style" w:cs="Arial"/>
          <w:bCs/>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877B43" w:rsidRPr="00F20095" w:rsidRDefault="00877B43" w:rsidP="00877B43">
      <w:pPr>
        <w:widowControl w:val="0"/>
        <w:spacing w:after="0" w:line="240" w:lineRule="auto"/>
        <w:jc w:val="both"/>
        <w:rPr>
          <w:rFonts w:ascii="Bookman Old Style" w:hAnsi="Bookman Old Style" w:cs="Arial"/>
          <w:bCs/>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877B43" w:rsidRPr="00F20095" w:rsidRDefault="00877B43" w:rsidP="00877B43">
      <w:pPr>
        <w:widowControl w:val="0"/>
        <w:spacing w:after="0" w:line="240" w:lineRule="auto"/>
        <w:jc w:val="both"/>
        <w:rPr>
          <w:rFonts w:ascii="Bookman Old Style" w:hAnsi="Bookman Old Style" w:cs="Arial"/>
          <w:bCs/>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877B43" w:rsidRPr="00F20095" w:rsidRDefault="00877B43" w:rsidP="00877B43">
      <w:pPr>
        <w:widowControl w:val="0"/>
        <w:jc w:val="both"/>
        <w:rPr>
          <w:rFonts w:ascii="Bookman Old Style" w:hAnsi="Bookman Old Style" w:cs="Arial"/>
          <w:sz w:val="20"/>
          <w:szCs w:val="20"/>
        </w:rPr>
      </w:pPr>
    </w:p>
    <w:p w:rsidR="00877B43" w:rsidRPr="00F20095" w:rsidRDefault="00877B43" w:rsidP="00877B43">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D29A2"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877B43" w:rsidRPr="00F20095" w:rsidRDefault="00877B43" w:rsidP="00877B43">
      <w:pPr>
        <w:widowControl w:val="0"/>
        <w:spacing w:after="0" w:line="240" w:lineRule="auto"/>
        <w:jc w:val="both"/>
        <w:rPr>
          <w:rFonts w:ascii="Bookman Old Style" w:hAnsi="Bookman Old Style" w:cs="Arial"/>
          <w:sz w:val="20"/>
          <w:szCs w:val="20"/>
        </w:rPr>
      </w:pPr>
    </w:p>
    <w:p w:rsidR="00877B43" w:rsidRPr="00F20095" w:rsidRDefault="00877B43" w:rsidP="00877B4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877B43" w:rsidRPr="00397AE3" w:rsidRDefault="00877B43" w:rsidP="00877B43">
      <w:pPr>
        <w:widowControl w:val="0"/>
        <w:jc w:val="both"/>
        <w:rPr>
          <w:rFonts w:ascii="Bookman Old Style" w:hAnsi="Bookman Old Style" w:cs="Arial"/>
          <w:i/>
          <w:sz w:val="20"/>
          <w:szCs w:val="20"/>
        </w:rPr>
      </w:pPr>
    </w:p>
    <w:p w:rsidR="00877B43" w:rsidRPr="003911E5" w:rsidRDefault="00877B43" w:rsidP="00877B43">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 – </w:t>
      </w:r>
      <w:r w:rsidRPr="003911E5">
        <w:rPr>
          <w:rFonts w:ascii="Bookman Old Style" w:hAnsi="Bookman Old Style" w:cs="Arial"/>
          <w:i/>
          <w:sz w:val="20"/>
          <w:szCs w:val="20"/>
        </w:rPr>
        <w:t>Documentação exigida para Habilitação;</w:t>
      </w:r>
    </w:p>
    <w:p w:rsidR="00877B43" w:rsidRPr="003911E5" w:rsidRDefault="00877B43" w:rsidP="00877B43">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 xml:space="preserve">ANEXO II – Termo de Referência; </w:t>
      </w:r>
    </w:p>
    <w:p w:rsidR="00877B43" w:rsidRPr="003911E5" w:rsidRDefault="00877B43" w:rsidP="00877B43">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III - Declaração Unificada;</w:t>
      </w:r>
    </w:p>
    <w:p w:rsidR="00877B43" w:rsidRPr="003911E5" w:rsidRDefault="00877B43" w:rsidP="00877B43">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IV- Modelo de proposta;</w:t>
      </w:r>
    </w:p>
    <w:p w:rsidR="00877B43" w:rsidRPr="003911E5" w:rsidRDefault="00877B43" w:rsidP="00877B43">
      <w:pPr>
        <w:widowControl w:val="0"/>
        <w:numPr>
          <w:ilvl w:val="2"/>
          <w:numId w:val="1"/>
        </w:numPr>
        <w:spacing w:after="0" w:line="240" w:lineRule="auto"/>
        <w:ind w:left="0" w:firstLine="0"/>
        <w:jc w:val="both"/>
        <w:rPr>
          <w:rFonts w:ascii="Bookman Old Style" w:hAnsi="Bookman Old Style" w:cs="Arial"/>
          <w:i/>
          <w:sz w:val="20"/>
          <w:szCs w:val="20"/>
        </w:rPr>
      </w:pPr>
      <w:r w:rsidRPr="003911E5">
        <w:rPr>
          <w:rFonts w:ascii="Bookman Old Style" w:hAnsi="Bookman Old Style" w:cs="Arial"/>
          <w:i/>
          <w:sz w:val="20"/>
          <w:szCs w:val="20"/>
        </w:rPr>
        <w:t>ANEXO V – Minuta do Contrato.</w:t>
      </w:r>
    </w:p>
    <w:p w:rsidR="00877B43" w:rsidRPr="003911E5" w:rsidRDefault="00877B43" w:rsidP="00877B43">
      <w:pPr>
        <w:widowControl w:val="0"/>
        <w:rPr>
          <w:rFonts w:ascii="Bookman Old Style" w:hAnsi="Bookman Old Style" w:cs="Arial"/>
          <w:sz w:val="20"/>
          <w:szCs w:val="20"/>
        </w:rPr>
      </w:pPr>
    </w:p>
    <w:p w:rsidR="00877B43" w:rsidRPr="003911E5" w:rsidRDefault="00877B43" w:rsidP="00877B43">
      <w:pPr>
        <w:widowControl w:val="0"/>
        <w:rPr>
          <w:rFonts w:ascii="Bookman Old Style" w:hAnsi="Bookman Old Style" w:cs="Arial"/>
          <w:b/>
          <w:bCs/>
          <w:sz w:val="20"/>
          <w:szCs w:val="20"/>
        </w:rPr>
      </w:pPr>
    </w:p>
    <w:p w:rsidR="00877B43" w:rsidRPr="003911E5" w:rsidRDefault="00877B43" w:rsidP="00877B43">
      <w:pPr>
        <w:pStyle w:val="Corpodetexto"/>
        <w:ind w:right="-1"/>
        <w:jc w:val="right"/>
        <w:rPr>
          <w:rFonts w:ascii="Bookman Old Style" w:hAnsi="Bookman Old Style"/>
          <w:sz w:val="20"/>
          <w:szCs w:val="20"/>
        </w:rPr>
      </w:pPr>
      <w:r w:rsidRPr="003911E5">
        <w:rPr>
          <w:rFonts w:ascii="Bookman Old Style" w:hAnsi="Bookman Old Style"/>
          <w:sz w:val="20"/>
          <w:szCs w:val="20"/>
        </w:rPr>
        <w:t>Sa</w:t>
      </w:r>
      <w:r w:rsidR="003911E5" w:rsidRPr="003911E5">
        <w:rPr>
          <w:rFonts w:ascii="Bookman Old Style" w:hAnsi="Bookman Old Style"/>
          <w:sz w:val="20"/>
          <w:szCs w:val="20"/>
        </w:rPr>
        <w:t>nto Antonio do Sudoeste - PR, 20</w:t>
      </w:r>
      <w:r w:rsidRPr="003911E5">
        <w:rPr>
          <w:rFonts w:ascii="Bookman Old Style" w:hAnsi="Bookman Old Style"/>
          <w:sz w:val="20"/>
          <w:szCs w:val="20"/>
        </w:rPr>
        <w:t xml:space="preserve"> de julho de 2023.</w:t>
      </w:r>
    </w:p>
    <w:p w:rsidR="00877B43" w:rsidRPr="00397AE3" w:rsidRDefault="00877B43" w:rsidP="00877B43">
      <w:pPr>
        <w:pStyle w:val="Corpodetexto"/>
        <w:ind w:right="793"/>
        <w:rPr>
          <w:rFonts w:ascii="Bookman Old Style" w:hAnsi="Bookman Old Style"/>
          <w:sz w:val="20"/>
          <w:szCs w:val="20"/>
        </w:rPr>
      </w:pPr>
    </w:p>
    <w:p w:rsidR="00877B43" w:rsidRPr="00397AE3" w:rsidRDefault="00877B43" w:rsidP="00877B43">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55F36C0E" wp14:editId="768541F4">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877B43" w:rsidRPr="00397AE3" w:rsidRDefault="00877B43" w:rsidP="00877B43">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877B43" w:rsidRPr="00F20095" w:rsidRDefault="00877B43" w:rsidP="00877B43">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877B43" w:rsidRPr="00F20095" w:rsidRDefault="00877B43" w:rsidP="00877B43">
      <w:pPr>
        <w:widowControl w:val="0"/>
        <w:jc w:val="center"/>
        <w:rPr>
          <w:rFonts w:ascii="Bookman Old Style" w:hAnsi="Bookman Old Style" w:cs="Arial"/>
          <w:b/>
          <w:bCs/>
          <w:sz w:val="20"/>
          <w:szCs w:val="20"/>
        </w:rPr>
      </w:pPr>
    </w:p>
    <w:p w:rsidR="00877B43" w:rsidRPr="00F20095" w:rsidRDefault="00877B43" w:rsidP="00877B4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877B43" w:rsidRPr="00F20095" w:rsidRDefault="00877B43" w:rsidP="00877B4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877B43" w:rsidRPr="00256CA5" w:rsidRDefault="00877B43" w:rsidP="00877B4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877B43" w:rsidRPr="00F20095" w:rsidRDefault="00877B43" w:rsidP="00877B43">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877B43" w:rsidRPr="00F20095" w:rsidRDefault="00877B43" w:rsidP="00877B4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877B43" w:rsidRPr="00F20095" w:rsidRDefault="00877B43" w:rsidP="00877B43">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877B43" w:rsidRPr="00F20095" w:rsidRDefault="00877B43" w:rsidP="00877B4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77B43" w:rsidRPr="00F20095" w:rsidRDefault="00877B43" w:rsidP="00877B4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877B43" w:rsidRPr="00F20095" w:rsidRDefault="00877B43" w:rsidP="00877B4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877B43" w:rsidRPr="00F20095" w:rsidRDefault="00877B43" w:rsidP="00877B4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877B43" w:rsidRPr="00F20095" w:rsidRDefault="00877B43" w:rsidP="00877B43">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877B43" w:rsidRPr="00F20095" w:rsidRDefault="00877B43" w:rsidP="00877B43">
      <w:pPr>
        <w:pStyle w:val="PargrafodaLista"/>
        <w:widowControl w:val="0"/>
        <w:ind w:left="0"/>
        <w:jc w:val="both"/>
        <w:rPr>
          <w:rFonts w:ascii="Bookman Old Style" w:hAnsi="Bookman Old Style" w:cs="Arial"/>
          <w:bCs/>
          <w:sz w:val="20"/>
          <w:szCs w:val="20"/>
        </w:rPr>
      </w:pPr>
    </w:p>
    <w:p w:rsidR="00877B43" w:rsidRPr="00F20095" w:rsidRDefault="00877B43" w:rsidP="00877B43">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877B43" w:rsidRPr="00F20095"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877B43" w:rsidRPr="00F20095"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77B43" w:rsidRPr="00F20095"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877B43" w:rsidRPr="00F20095"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877B43" w:rsidRPr="00F20095"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877B43" w:rsidRPr="005F18FE" w:rsidRDefault="00877B43" w:rsidP="00877B43">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877B43" w:rsidRPr="00B46A4B"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877B43" w:rsidRDefault="00877B43" w:rsidP="00877B4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877B43" w:rsidRDefault="00877B43" w:rsidP="00877B43"/>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38" w:rsidRDefault="009C78DD">
      <w:pPr>
        <w:spacing w:after="0" w:line="240" w:lineRule="auto"/>
      </w:pPr>
      <w:r>
        <w:separator/>
      </w:r>
    </w:p>
  </w:endnote>
  <w:endnote w:type="continuationSeparator" w:id="0">
    <w:p w:rsidR="00815238" w:rsidRDefault="009C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38" w:rsidRDefault="009C78DD">
      <w:pPr>
        <w:spacing w:after="0" w:line="240" w:lineRule="auto"/>
      </w:pPr>
      <w:r>
        <w:separator/>
      </w:r>
    </w:p>
  </w:footnote>
  <w:footnote w:type="continuationSeparator" w:id="0">
    <w:p w:rsidR="00815238" w:rsidRDefault="009C7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A2" w:rsidRDefault="00877B43"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4F5C8308" wp14:editId="2B1B974F">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877B43"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877B43"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877B43"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877B43"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29A2" w:rsidRPr="007415D3" w:rsidRDefault="008104EA" w:rsidP="00FD2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3"/>
    <w:rsid w:val="003911E5"/>
    <w:rsid w:val="006B0418"/>
    <w:rsid w:val="008104EA"/>
    <w:rsid w:val="00815238"/>
    <w:rsid w:val="00877B43"/>
    <w:rsid w:val="009C78DD"/>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F88C9-BF74-4D59-895C-26A453E1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43"/>
  </w:style>
  <w:style w:type="paragraph" w:styleId="Ttulo1">
    <w:name w:val="heading 1"/>
    <w:basedOn w:val="Normal"/>
    <w:next w:val="Normal"/>
    <w:link w:val="Ttulo1Char"/>
    <w:uiPriority w:val="9"/>
    <w:qFormat/>
    <w:rsid w:val="00877B4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7B4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877B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B43"/>
  </w:style>
  <w:style w:type="character" w:styleId="Hyperlink">
    <w:name w:val="Hyperlink"/>
    <w:basedOn w:val="Fontepargpadro"/>
    <w:uiPriority w:val="99"/>
    <w:unhideWhenUsed/>
    <w:rsid w:val="00877B43"/>
    <w:rPr>
      <w:color w:val="0563C1"/>
      <w:u w:val="single"/>
    </w:rPr>
  </w:style>
  <w:style w:type="paragraph" w:styleId="PargrafodaLista">
    <w:name w:val="List Paragraph"/>
    <w:basedOn w:val="Normal"/>
    <w:uiPriority w:val="1"/>
    <w:qFormat/>
    <w:rsid w:val="00877B43"/>
    <w:pPr>
      <w:ind w:left="720"/>
      <w:contextualSpacing/>
    </w:pPr>
  </w:style>
  <w:style w:type="paragraph" w:styleId="Corpodetexto">
    <w:name w:val="Body Text"/>
    <w:basedOn w:val="Normal"/>
    <w:link w:val="CorpodetextoChar"/>
    <w:uiPriority w:val="1"/>
    <w:unhideWhenUsed/>
    <w:qFormat/>
    <w:rsid w:val="00877B4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877B43"/>
    <w:rPr>
      <w:rFonts w:ascii="Times New Roman" w:eastAsia="Times New Roman" w:hAnsi="Times New Roman" w:cs="Times New Roman"/>
      <w:lang w:val="pt-PT"/>
    </w:rPr>
  </w:style>
  <w:style w:type="paragraph" w:customStyle="1" w:styleId="PADRO">
    <w:name w:val="PADRÃO"/>
    <w:rsid w:val="00877B4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877B43"/>
    <w:pPr>
      <w:widowControl w:val="0"/>
      <w:autoSpaceDE w:val="0"/>
      <w:autoSpaceDN w:val="0"/>
      <w:adjustRightInd w:val="0"/>
      <w:spacing w:after="0" w:line="240" w:lineRule="auto"/>
    </w:pPr>
    <w:rPr>
      <w:rFonts w:ascii="Arial" w:eastAsia="Times New Roman" w:hAnsi="Arial" w:cs="Arial"/>
      <w:sz w:val="24"/>
      <w:szCs w:val="24"/>
      <w:lang w:eastAsia="pt-BR"/>
    </w:rPr>
  </w:style>
  <w:style w:type="table" w:styleId="Tabelacomgrade">
    <w:name w:val="Table Grid"/>
    <w:basedOn w:val="Tabelanormal"/>
    <w:uiPriority w:val="39"/>
    <w:rsid w:val="0087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3939</Words>
  <Characters>21275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2023-08-01T13:10:00Z</dcterms:created>
  <dcterms:modified xsi:type="dcterms:W3CDTF">2023-08-01T17:57:00Z</dcterms:modified>
</cp:coreProperties>
</file>