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A6" w:rsidRPr="000E1F1E" w:rsidRDefault="00160FA6" w:rsidP="00160FA6">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Pr>
          <w:rFonts w:ascii="Bookman Old Style" w:hAnsi="Bookman Old Style" w:cs="Times New Roman"/>
          <w:b/>
          <w:bCs/>
          <w:sz w:val="20"/>
          <w:szCs w:val="20"/>
        </w:rPr>
        <w:t>DE DISPENSA N° 065</w:t>
      </w:r>
      <w:r w:rsidRPr="000E1F1E">
        <w:rPr>
          <w:rFonts w:ascii="Bookman Old Style" w:hAnsi="Bookman Old Style" w:cs="Times New Roman"/>
          <w:b/>
          <w:bCs/>
          <w:sz w:val="20"/>
          <w:szCs w:val="20"/>
        </w:rPr>
        <w:t>/2023</w:t>
      </w:r>
    </w:p>
    <w:p w:rsidR="00160FA6" w:rsidRDefault="00160FA6" w:rsidP="00160FA6">
      <w:pPr>
        <w:jc w:val="center"/>
        <w:rPr>
          <w:rFonts w:ascii="Bookman Old Style" w:hAnsi="Bookman Old Style" w:cs="Times New Roman"/>
          <w:b/>
          <w:bCs/>
          <w:sz w:val="20"/>
          <w:szCs w:val="20"/>
        </w:rPr>
      </w:pPr>
      <w:r w:rsidRPr="006D53C8">
        <w:rPr>
          <w:rFonts w:ascii="Bookman Old Style" w:hAnsi="Bookman Old Style" w:cs="Times New Roman"/>
          <w:b/>
          <w:bCs/>
          <w:sz w:val="20"/>
          <w:szCs w:val="20"/>
        </w:rPr>
        <w:t>Processo Administrativo n</w:t>
      </w:r>
      <w:r>
        <w:rPr>
          <w:rFonts w:ascii="Bookman Old Style" w:hAnsi="Bookman Old Style" w:cs="Times New Roman"/>
          <w:b/>
          <w:bCs/>
          <w:sz w:val="20"/>
          <w:szCs w:val="20"/>
        </w:rPr>
        <w:t>° 546</w:t>
      </w:r>
      <w:r w:rsidRPr="006D53C8">
        <w:rPr>
          <w:rFonts w:ascii="Bookman Old Style" w:hAnsi="Bookman Old Style" w:cs="Times New Roman"/>
          <w:b/>
          <w:bCs/>
          <w:sz w:val="20"/>
          <w:szCs w:val="20"/>
        </w:rPr>
        <w:t>/2023</w:t>
      </w:r>
    </w:p>
    <w:p w:rsidR="00160FA6" w:rsidRPr="00F20095" w:rsidRDefault="00160FA6" w:rsidP="00160FA6">
      <w:pPr>
        <w:jc w:val="center"/>
        <w:rPr>
          <w:rFonts w:ascii="Bookman Old Style" w:hAnsi="Bookman Old Style"/>
          <w:sz w:val="20"/>
          <w:szCs w:val="20"/>
        </w:rPr>
      </w:pPr>
    </w:p>
    <w:p w:rsidR="00160FA6" w:rsidRPr="00397AE3"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w:t>
      </w:r>
      <w:r w:rsidRPr="00397AE3">
        <w:rPr>
          <w:rFonts w:ascii="Bookman Old Style" w:hAnsi="Bookman Old Style" w:cs="Times New Roman"/>
          <w:sz w:val="20"/>
          <w:szCs w:val="20"/>
        </w:rPr>
        <w:t xml:space="preserve">no CNPJ sob </w:t>
      </w:r>
      <w:proofErr w:type="spellStart"/>
      <w:r w:rsidRPr="00397AE3">
        <w:rPr>
          <w:rFonts w:ascii="Bookman Old Style" w:hAnsi="Bookman Old Style" w:cs="Times New Roman"/>
          <w:sz w:val="20"/>
          <w:szCs w:val="20"/>
        </w:rPr>
        <w:t>n.°</w:t>
      </w:r>
      <w:proofErr w:type="spellEnd"/>
      <w:r w:rsidRPr="00397AE3">
        <w:rPr>
          <w:rFonts w:ascii="Bookman Old Style" w:hAnsi="Bookman Old Style" w:cs="Times New Roman"/>
          <w:sz w:val="20"/>
          <w:szCs w:val="20"/>
        </w:rPr>
        <w:t xml:space="preserve"> 75.927.582/0001-55, através da Secretaria de </w:t>
      </w:r>
      <w:r>
        <w:rPr>
          <w:rFonts w:ascii="Bookman Old Style" w:hAnsi="Bookman Old Style" w:cs="Times New Roman"/>
          <w:sz w:val="20"/>
          <w:szCs w:val="20"/>
        </w:rPr>
        <w:t>Saúde</w:t>
      </w:r>
      <w:r w:rsidRPr="00397AE3">
        <w:rPr>
          <w:rFonts w:ascii="Bookman Old Style" w:hAnsi="Bookman Old Style" w:cs="Times New Roman"/>
          <w:sz w:val="20"/>
          <w:szCs w:val="20"/>
        </w:rPr>
        <w:t xml:space="preserve">, sediado a Avenida Brasil n° 1431 - centro – Santo Antonio do Sudoeste Paraná, por intermédio do Excelentíssimo Prefeito Municipal,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160FA6" w:rsidRPr="00397AE3" w:rsidRDefault="00160FA6" w:rsidP="00160FA6">
      <w:pPr>
        <w:autoSpaceDE w:val="0"/>
        <w:autoSpaceDN w:val="0"/>
        <w:adjustRightInd w:val="0"/>
        <w:spacing w:after="0" w:line="240" w:lineRule="auto"/>
        <w:jc w:val="both"/>
        <w:rPr>
          <w:rFonts w:ascii="Bookman Old Style" w:hAnsi="Bookman Old Style" w:cs="Times New Roman"/>
          <w:sz w:val="20"/>
          <w:szCs w:val="20"/>
        </w:rPr>
      </w:pPr>
    </w:p>
    <w:p w:rsidR="00160FA6" w:rsidRPr="00397AE3" w:rsidRDefault="00160FA6" w:rsidP="00160FA6">
      <w:pPr>
        <w:autoSpaceDE w:val="0"/>
        <w:autoSpaceDN w:val="0"/>
        <w:adjustRightInd w:val="0"/>
        <w:spacing w:after="0" w:line="240" w:lineRule="auto"/>
        <w:rPr>
          <w:rFonts w:ascii="Bookman Old Style" w:hAnsi="Bookman Old Style" w:cs="Times New Roman"/>
          <w:sz w:val="20"/>
          <w:szCs w:val="20"/>
        </w:rPr>
      </w:pPr>
      <w:r>
        <w:rPr>
          <w:rFonts w:ascii="Bookman Old Style" w:hAnsi="Bookman Old Style" w:cs="Times New Roman"/>
          <w:sz w:val="20"/>
          <w:szCs w:val="20"/>
        </w:rPr>
        <w:t>Data da sessão: 28</w:t>
      </w:r>
      <w:r>
        <w:rPr>
          <w:rFonts w:ascii="Bookman Old Style" w:hAnsi="Bookman Old Style" w:cs="Times New Roman"/>
          <w:sz w:val="20"/>
          <w:szCs w:val="20"/>
        </w:rPr>
        <w:t>/07</w:t>
      </w:r>
      <w:r w:rsidRPr="00397AE3">
        <w:rPr>
          <w:rFonts w:ascii="Bookman Old Style" w:hAnsi="Bookman Old Style" w:cs="Times New Roman"/>
          <w:sz w:val="20"/>
          <w:szCs w:val="20"/>
        </w:rPr>
        <w:t>/2023</w:t>
      </w:r>
    </w:p>
    <w:p w:rsidR="00160FA6" w:rsidRPr="00397AE3" w:rsidRDefault="00160FA6" w:rsidP="00160FA6">
      <w:pPr>
        <w:autoSpaceDE w:val="0"/>
        <w:autoSpaceDN w:val="0"/>
        <w:adjustRightInd w:val="0"/>
        <w:spacing w:after="0" w:line="240" w:lineRule="auto"/>
        <w:rPr>
          <w:rFonts w:ascii="Bookman Old Style" w:hAnsi="Bookman Old Style" w:cs="Times New Roman"/>
          <w:sz w:val="20"/>
          <w:szCs w:val="20"/>
        </w:rPr>
      </w:pPr>
      <w:r w:rsidRPr="00397AE3">
        <w:rPr>
          <w:rFonts w:ascii="Bookman Old Style" w:hAnsi="Bookman Old Style" w:cs="Times New Roman"/>
          <w:sz w:val="20"/>
          <w:szCs w:val="20"/>
        </w:rPr>
        <w:t>Link: https://www.pmsas.pr.gov.br</w:t>
      </w:r>
    </w:p>
    <w:p w:rsidR="00160FA6" w:rsidRPr="00397AE3"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397AE3">
        <w:rPr>
          <w:rFonts w:ascii="Bookman Old Style" w:hAnsi="Bookman Old Style" w:cs="Times New Roman"/>
          <w:sz w:val="20"/>
          <w:szCs w:val="20"/>
        </w:rPr>
        <w:t xml:space="preserve">Horário da </w:t>
      </w:r>
      <w:r>
        <w:rPr>
          <w:rFonts w:ascii="Bookman Old Style" w:hAnsi="Bookman Old Style" w:cs="Times New Roman"/>
          <w:sz w:val="20"/>
          <w:szCs w:val="20"/>
        </w:rPr>
        <w:t>abertura: 10</w:t>
      </w:r>
      <w:bookmarkStart w:id="0" w:name="_GoBack"/>
      <w:bookmarkEnd w:id="0"/>
      <w:r w:rsidRPr="00397AE3">
        <w:rPr>
          <w:rFonts w:ascii="Bookman Old Style" w:hAnsi="Bookman Old Style" w:cs="Times New Roman"/>
          <w:sz w:val="20"/>
          <w:szCs w:val="20"/>
        </w:rPr>
        <w:t>:00h</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b/>
          <w:bCs/>
          <w:sz w:val="20"/>
          <w:szCs w:val="20"/>
        </w:rPr>
      </w:pPr>
    </w:p>
    <w:p w:rsidR="00160FA6" w:rsidRPr="00236B43"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Pr>
          <w:rFonts w:ascii="Bookman Old Style" w:hAnsi="Bookman Old Style"/>
          <w:sz w:val="20"/>
          <w:szCs w:val="20"/>
        </w:rPr>
        <w:t xml:space="preserve">Constitui </w:t>
      </w:r>
      <w:r>
        <w:rPr>
          <w:rFonts w:ascii="Bookman Old Style" w:hAnsi="Bookman Old Style"/>
          <w:sz w:val="20"/>
          <w:szCs w:val="20"/>
        </w:rPr>
        <w:t>objeto deste a</w:t>
      </w:r>
      <w:r w:rsidRPr="008A461C">
        <w:rPr>
          <w:rFonts w:ascii="Bookman Old Style" w:hAnsi="Bookman Old Style"/>
          <w:sz w:val="20"/>
          <w:szCs w:val="20"/>
        </w:rPr>
        <w:t xml:space="preserve"> </w:t>
      </w:r>
      <w:r w:rsidRPr="00160FA6">
        <w:rPr>
          <w:rFonts w:ascii="Bookman Old Style" w:eastAsiaTheme="minorEastAsia" w:hAnsi="Bookman Old Style" w:cs="Arial"/>
          <w:color w:val="000000"/>
          <w:sz w:val="20"/>
          <w:szCs w:val="20"/>
          <w:lang w:eastAsia="pt-BR"/>
        </w:rPr>
        <w:t>Contratação de empresa especializada para a prestação de serviços realização de</w:t>
      </w:r>
      <w:r>
        <w:rPr>
          <w:rFonts w:ascii="Bookman Old Style" w:eastAsiaTheme="minorEastAsia" w:hAnsi="Bookman Old Style" w:cs="Arial"/>
          <w:color w:val="000000"/>
          <w:sz w:val="20"/>
          <w:szCs w:val="20"/>
          <w:lang w:eastAsia="pt-BR"/>
        </w:rPr>
        <w:t xml:space="preserve"> </w:t>
      </w:r>
      <w:r w:rsidRPr="00160FA6">
        <w:rPr>
          <w:rFonts w:ascii="Bookman Old Style" w:eastAsiaTheme="minorEastAsia" w:hAnsi="Bookman Old Style" w:cs="Arial"/>
          <w:color w:val="000000"/>
          <w:sz w:val="20"/>
          <w:szCs w:val="20"/>
          <w:lang w:eastAsia="pt-BR"/>
        </w:rPr>
        <w:t>procedimento de GASTROSTOMIA VIA ENDOSCÓPICA com fornecimento de todo</w:t>
      </w:r>
      <w:r>
        <w:rPr>
          <w:rFonts w:ascii="Bookman Old Style" w:eastAsiaTheme="minorEastAsia" w:hAnsi="Bookman Old Style" w:cs="Arial"/>
          <w:color w:val="000000"/>
          <w:sz w:val="20"/>
          <w:szCs w:val="20"/>
          <w:lang w:eastAsia="pt-BR"/>
        </w:rPr>
        <w:t xml:space="preserve"> </w:t>
      </w:r>
      <w:r w:rsidRPr="00160FA6">
        <w:rPr>
          <w:rFonts w:ascii="Bookman Old Style" w:eastAsiaTheme="minorEastAsia" w:hAnsi="Bookman Old Style" w:cs="Arial"/>
          <w:color w:val="000000"/>
          <w:sz w:val="20"/>
          <w:szCs w:val="20"/>
          <w:lang w:eastAsia="pt-BR"/>
        </w:rPr>
        <w:t>material e profissional necessário para a realização do mesmo para paciente ALMERINDA</w:t>
      </w:r>
      <w:r>
        <w:rPr>
          <w:rFonts w:ascii="Bookman Old Style" w:eastAsiaTheme="minorEastAsia" w:hAnsi="Bookman Old Style" w:cs="Arial"/>
          <w:color w:val="000000"/>
          <w:sz w:val="20"/>
          <w:szCs w:val="20"/>
          <w:lang w:eastAsia="pt-BR"/>
        </w:rPr>
        <w:t xml:space="preserve"> </w:t>
      </w:r>
      <w:r w:rsidRPr="00160FA6">
        <w:rPr>
          <w:rFonts w:ascii="Bookman Old Style" w:eastAsiaTheme="minorEastAsia" w:hAnsi="Bookman Old Style" w:cs="Arial"/>
          <w:color w:val="000000"/>
          <w:sz w:val="20"/>
          <w:szCs w:val="20"/>
          <w:lang w:eastAsia="pt-BR"/>
        </w:rPr>
        <w:t>NUNES</w:t>
      </w:r>
      <w:r>
        <w:rPr>
          <w:rFonts w:ascii="Bookman Old Style" w:eastAsiaTheme="minorEastAsia" w:hAnsi="Bookman Old Style" w:cs="Arial"/>
          <w:color w:val="000000"/>
          <w:sz w:val="20"/>
          <w:szCs w:val="20"/>
          <w:lang w:eastAsia="pt-BR"/>
        </w:rPr>
        <w:t>.</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9"/>
        <w:gridCol w:w="689"/>
        <w:gridCol w:w="725"/>
        <w:gridCol w:w="3083"/>
        <w:gridCol w:w="842"/>
        <w:gridCol w:w="841"/>
        <w:gridCol w:w="981"/>
        <w:gridCol w:w="842"/>
        <w:gridCol w:w="931"/>
      </w:tblGrid>
      <w:tr w:rsidR="00160FA6" w:rsidRPr="00CD06E3" w:rsidTr="00160FA6">
        <w:tc>
          <w:tcPr>
            <w:tcW w:w="9623" w:type="dxa"/>
            <w:gridSpan w:val="9"/>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ITENS</w:t>
            </w:r>
          </w:p>
        </w:tc>
      </w:tr>
      <w:tr w:rsidR="00160FA6" w:rsidRPr="00CD06E3" w:rsidTr="00160FA6">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w:t>
            </w:r>
          </w:p>
        </w:tc>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Código do produto/serviço</w:t>
            </w:r>
          </w:p>
        </w:tc>
        <w:tc>
          <w:tcPr>
            <w:tcW w:w="3083"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Descrição do produto/serviço</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Marca do produto</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Unidade de medida</w:t>
            </w:r>
          </w:p>
        </w:tc>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Quantidade</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unitário</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total</w:t>
            </w:r>
          </w:p>
        </w:tc>
      </w:tr>
      <w:tr w:rsidR="00160FA6" w:rsidRPr="00CD06E3" w:rsidTr="00160FA6">
        <w:tc>
          <w:tcPr>
            <w:tcW w:w="689"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 001 - Lote 001</w:t>
            </w:r>
          </w:p>
        </w:tc>
        <w:tc>
          <w:tcPr>
            <w:tcW w:w="689"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1</w:t>
            </w:r>
          </w:p>
        </w:tc>
        <w:tc>
          <w:tcPr>
            <w:tcW w:w="725"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23326</w:t>
            </w:r>
          </w:p>
        </w:tc>
        <w:tc>
          <w:tcPr>
            <w:tcW w:w="3083" w:type="dxa"/>
            <w:tcBorders>
              <w:top w:val="single" w:sz="6" w:space="0" w:color="000000"/>
              <w:left w:val="single" w:sz="6" w:space="0" w:color="000000"/>
              <w:bottom w:val="single" w:sz="6" w:space="0" w:color="000000"/>
              <w:right w:val="single" w:sz="6" w:space="0" w:color="000000"/>
            </w:tcBorders>
          </w:tcPr>
          <w:p w:rsidR="00160FA6" w:rsidRPr="00160FA6" w:rsidRDefault="00160FA6" w:rsidP="00160FA6">
            <w:pPr>
              <w:autoSpaceDE w:val="0"/>
              <w:autoSpaceDN w:val="0"/>
              <w:adjustRightInd w:val="0"/>
              <w:spacing w:after="0" w:line="240" w:lineRule="auto"/>
              <w:rPr>
                <w:rFonts w:ascii="Bookman Old Style" w:hAnsi="Bookman Old Style" w:cs="Arial"/>
                <w:sz w:val="16"/>
                <w:szCs w:val="16"/>
                <w:lang w:val="x-none"/>
              </w:rPr>
            </w:pPr>
            <w:r w:rsidRPr="00160FA6">
              <w:rPr>
                <w:rFonts w:ascii="Bookman Old Style" w:hAnsi="Bookman Old Style" w:cs="Arial"/>
                <w:sz w:val="16"/>
                <w:szCs w:val="16"/>
                <w:lang w:val="x-none"/>
              </w:rPr>
              <w:t>Realização do procedimento</w:t>
            </w:r>
          </w:p>
          <w:p w:rsidR="00160FA6" w:rsidRPr="00160FA6" w:rsidRDefault="00160FA6" w:rsidP="00160FA6">
            <w:pPr>
              <w:autoSpaceDE w:val="0"/>
              <w:autoSpaceDN w:val="0"/>
              <w:adjustRightInd w:val="0"/>
              <w:spacing w:after="0" w:line="240" w:lineRule="auto"/>
              <w:rPr>
                <w:rFonts w:ascii="Bookman Old Style" w:hAnsi="Bookman Old Style" w:cs="Arial"/>
                <w:sz w:val="16"/>
                <w:szCs w:val="16"/>
                <w:lang w:val="x-none"/>
              </w:rPr>
            </w:pPr>
            <w:r w:rsidRPr="00160FA6">
              <w:rPr>
                <w:rFonts w:ascii="Bookman Old Style" w:hAnsi="Bookman Old Style" w:cs="Arial"/>
                <w:sz w:val="16"/>
                <w:szCs w:val="16"/>
                <w:lang w:val="x-none"/>
              </w:rPr>
              <w:t xml:space="preserve">de </w:t>
            </w:r>
            <w:proofErr w:type="spellStart"/>
            <w:r w:rsidRPr="00160FA6">
              <w:rPr>
                <w:rFonts w:ascii="Bookman Old Style" w:hAnsi="Bookman Old Style" w:cs="Arial"/>
                <w:sz w:val="16"/>
                <w:szCs w:val="16"/>
                <w:lang w:val="x-none"/>
              </w:rPr>
              <w:t>Gastrostomia</w:t>
            </w:r>
            <w:proofErr w:type="spellEnd"/>
            <w:r w:rsidRPr="00160FA6">
              <w:rPr>
                <w:rFonts w:ascii="Bookman Old Style" w:hAnsi="Bookman Old Style" w:cs="Arial"/>
                <w:sz w:val="16"/>
                <w:szCs w:val="16"/>
                <w:lang w:val="x-none"/>
              </w:rPr>
              <w:t xml:space="preserve"> via</w:t>
            </w:r>
          </w:p>
          <w:p w:rsidR="00160FA6" w:rsidRPr="00160FA6" w:rsidRDefault="00160FA6" w:rsidP="00160FA6">
            <w:pPr>
              <w:autoSpaceDE w:val="0"/>
              <w:autoSpaceDN w:val="0"/>
              <w:adjustRightInd w:val="0"/>
              <w:spacing w:after="0" w:line="240" w:lineRule="auto"/>
              <w:rPr>
                <w:rFonts w:ascii="Bookman Old Style" w:hAnsi="Bookman Old Style" w:cs="Arial"/>
                <w:sz w:val="16"/>
                <w:szCs w:val="16"/>
                <w:lang w:val="x-none"/>
              </w:rPr>
            </w:pPr>
            <w:r w:rsidRPr="00160FA6">
              <w:rPr>
                <w:rFonts w:ascii="Bookman Old Style" w:hAnsi="Bookman Old Style" w:cs="Arial"/>
                <w:sz w:val="16"/>
                <w:szCs w:val="16"/>
                <w:lang w:val="x-none"/>
              </w:rPr>
              <w:t>Endoscópica para paciente</w:t>
            </w:r>
          </w:p>
          <w:p w:rsidR="00160FA6" w:rsidRPr="00160FA6" w:rsidRDefault="00160FA6" w:rsidP="00160FA6">
            <w:pPr>
              <w:autoSpaceDE w:val="0"/>
              <w:autoSpaceDN w:val="0"/>
              <w:adjustRightInd w:val="0"/>
              <w:spacing w:after="0" w:line="240" w:lineRule="auto"/>
              <w:rPr>
                <w:rFonts w:ascii="Bookman Old Style" w:hAnsi="Bookman Old Style" w:cs="Arial"/>
                <w:sz w:val="16"/>
                <w:szCs w:val="16"/>
                <w:lang w:val="x-none"/>
              </w:rPr>
            </w:pPr>
            <w:r w:rsidRPr="00160FA6">
              <w:rPr>
                <w:rFonts w:ascii="Bookman Old Style" w:hAnsi="Bookman Old Style" w:cs="Arial"/>
                <w:sz w:val="16"/>
                <w:szCs w:val="16"/>
                <w:lang w:val="x-none"/>
              </w:rPr>
              <w:t>ALMERINDA NUNES (com</w:t>
            </w:r>
          </w:p>
          <w:p w:rsidR="00160FA6" w:rsidRPr="00CD06E3" w:rsidRDefault="00160FA6" w:rsidP="00160FA6">
            <w:pPr>
              <w:autoSpaceDE w:val="0"/>
              <w:autoSpaceDN w:val="0"/>
              <w:adjustRightInd w:val="0"/>
              <w:spacing w:after="0" w:line="240" w:lineRule="auto"/>
              <w:rPr>
                <w:rFonts w:ascii="Bookman Old Style" w:hAnsi="Bookman Old Style" w:cs="Arial"/>
                <w:sz w:val="16"/>
                <w:szCs w:val="16"/>
                <w:lang w:val="x-none"/>
              </w:rPr>
            </w:pPr>
            <w:r w:rsidRPr="00160FA6">
              <w:rPr>
                <w:rFonts w:ascii="Bookman Old Style" w:hAnsi="Bookman Old Style" w:cs="Arial"/>
                <w:sz w:val="16"/>
                <w:szCs w:val="16"/>
                <w:lang w:val="x-none"/>
              </w:rPr>
              <w:t>fornecimento de material).</w:t>
            </w:r>
          </w:p>
        </w:tc>
        <w:tc>
          <w:tcPr>
            <w:tcW w:w="842"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p>
        </w:tc>
        <w:tc>
          <w:tcPr>
            <w:tcW w:w="841" w:type="dxa"/>
            <w:tcBorders>
              <w:top w:val="single" w:sz="6" w:space="0" w:color="000000"/>
              <w:left w:val="single" w:sz="6" w:space="0" w:color="000000"/>
              <w:bottom w:val="single" w:sz="6" w:space="0" w:color="000000"/>
              <w:right w:val="single" w:sz="6" w:space="0" w:color="000000"/>
            </w:tcBorders>
          </w:tcPr>
          <w:p w:rsidR="00160FA6" w:rsidRPr="00160FA6" w:rsidRDefault="00160FA6" w:rsidP="005970CD">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UNID.</w:t>
            </w:r>
          </w:p>
        </w:tc>
        <w:tc>
          <w:tcPr>
            <w:tcW w:w="981"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01</w:t>
            </w:r>
          </w:p>
        </w:tc>
        <w:tc>
          <w:tcPr>
            <w:tcW w:w="842"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2.691,90</w:t>
            </w:r>
          </w:p>
        </w:tc>
        <w:tc>
          <w:tcPr>
            <w:tcW w:w="931" w:type="dxa"/>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2.691,90</w:t>
            </w:r>
          </w:p>
        </w:tc>
      </w:tr>
      <w:tr w:rsidR="00160FA6" w:rsidRPr="00CD06E3" w:rsidTr="00160FA6">
        <w:tc>
          <w:tcPr>
            <w:tcW w:w="8692" w:type="dxa"/>
            <w:gridSpan w:val="8"/>
            <w:tcBorders>
              <w:top w:val="single" w:sz="6" w:space="0" w:color="000000"/>
              <w:left w:val="single" w:sz="6" w:space="0" w:color="000000"/>
              <w:bottom w:val="single" w:sz="6" w:space="0" w:color="000000"/>
              <w:right w:val="single" w:sz="6" w:space="0" w:color="000000"/>
            </w:tcBorders>
          </w:tcPr>
          <w:p w:rsidR="00160FA6" w:rsidRPr="00CD06E3" w:rsidRDefault="00160FA6" w:rsidP="005970CD">
            <w:pPr>
              <w:autoSpaceDE w:val="0"/>
              <w:autoSpaceDN w:val="0"/>
              <w:adjustRightInd w:val="0"/>
              <w:spacing w:after="0" w:line="240" w:lineRule="auto"/>
              <w:rPr>
                <w:rFonts w:ascii="Bookman Old Style" w:hAnsi="Bookman Old Style" w:cs="Arial"/>
                <w:b/>
                <w:sz w:val="16"/>
                <w:szCs w:val="16"/>
                <w:lang w:val="x-none"/>
              </w:rPr>
            </w:pPr>
            <w:r w:rsidRPr="00CD06E3">
              <w:rPr>
                <w:rFonts w:ascii="Bookman Old Style" w:hAnsi="Bookman Old Style" w:cs="Arial"/>
                <w:b/>
                <w:sz w:val="16"/>
                <w:szCs w:val="16"/>
                <w:lang w:val="x-none"/>
              </w:rPr>
              <w:t>TOTAL</w:t>
            </w:r>
          </w:p>
        </w:tc>
        <w:tc>
          <w:tcPr>
            <w:tcW w:w="931" w:type="dxa"/>
            <w:tcBorders>
              <w:top w:val="single" w:sz="6" w:space="0" w:color="000000"/>
              <w:left w:val="single" w:sz="6" w:space="0" w:color="000000"/>
              <w:bottom w:val="single" w:sz="6" w:space="0" w:color="000000"/>
              <w:right w:val="single" w:sz="6" w:space="0" w:color="000000"/>
            </w:tcBorders>
          </w:tcPr>
          <w:p w:rsidR="00160FA6" w:rsidRPr="00160FA6" w:rsidRDefault="00160FA6" w:rsidP="005970CD">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2.691,90</w:t>
            </w:r>
          </w:p>
        </w:tc>
      </w:tr>
    </w:tbl>
    <w:p w:rsidR="00160FA6" w:rsidRPr="00F20095" w:rsidRDefault="00160FA6" w:rsidP="00160FA6">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60FA6" w:rsidRPr="00F20095"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160FA6" w:rsidRPr="00F20095" w:rsidRDefault="00160FA6" w:rsidP="00160FA6">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60FA6" w:rsidRPr="00F20095"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160FA6" w:rsidRPr="00F20095" w:rsidRDefault="00160FA6" w:rsidP="00160FA6">
      <w:pPr>
        <w:pStyle w:val="PargrafodaLista"/>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160FA6" w:rsidRPr="00F20095" w:rsidRDefault="00160FA6" w:rsidP="00160FA6">
      <w:pPr>
        <w:tabs>
          <w:tab w:val="left" w:pos="1980"/>
        </w:tabs>
        <w:jc w:val="both"/>
        <w:rPr>
          <w:rFonts w:ascii="Bookman Old Style" w:hAnsi="Bookman Old Style"/>
          <w:sz w:val="20"/>
          <w:szCs w:val="20"/>
        </w:rPr>
      </w:pPr>
    </w:p>
    <w:p w:rsidR="00160FA6" w:rsidRPr="00F20095" w:rsidRDefault="00160FA6" w:rsidP="00160FA6">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160FA6" w:rsidRPr="00F20095"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5"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160FA6" w:rsidRPr="00F20095" w:rsidRDefault="00160FA6" w:rsidP="00160FA6">
      <w:pPr>
        <w:pStyle w:val="PargrafodaLista"/>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160FA6" w:rsidRPr="00F20095" w:rsidRDefault="00160FA6" w:rsidP="00160FA6">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160FA6" w:rsidRPr="00F20095" w:rsidRDefault="00160FA6" w:rsidP="00160FA6">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160FA6" w:rsidRPr="00F20095" w:rsidRDefault="00160FA6" w:rsidP="00160FA6">
      <w:pPr>
        <w:pStyle w:val="PargrafodaLista"/>
        <w:autoSpaceDE w:val="0"/>
        <w:autoSpaceDN w:val="0"/>
        <w:adjustRightInd w:val="0"/>
        <w:spacing w:after="0" w:line="240" w:lineRule="auto"/>
        <w:rPr>
          <w:rFonts w:ascii="Bookman Old Style" w:hAnsi="Bookman Old Style" w:cs="Times New Roman"/>
          <w:sz w:val="20"/>
          <w:szCs w:val="20"/>
        </w:rPr>
      </w:pPr>
    </w:p>
    <w:p w:rsidR="00160FA6" w:rsidRPr="00F20095" w:rsidRDefault="00160FA6" w:rsidP="00160FA6">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160FA6" w:rsidRPr="00F20095" w:rsidRDefault="00160FA6" w:rsidP="00160FA6">
      <w:pPr>
        <w:pStyle w:val="PargrafodaLista"/>
        <w:tabs>
          <w:tab w:val="left" w:pos="1980"/>
        </w:tabs>
        <w:jc w:val="both"/>
        <w:rPr>
          <w:rFonts w:ascii="Bookman Old Style" w:hAnsi="Bookman Old Style" w:cs="Times New Roman"/>
          <w:sz w:val="20"/>
          <w:szCs w:val="20"/>
        </w:rPr>
      </w:pPr>
    </w:p>
    <w:p w:rsidR="00160FA6" w:rsidRPr="00F20095" w:rsidRDefault="00160FA6" w:rsidP="00160FA6">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160FA6" w:rsidRPr="00F20095" w:rsidRDefault="00160FA6" w:rsidP="00160FA6">
      <w:pPr>
        <w:pStyle w:val="PargrafodaLista"/>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lastRenderedPageBreak/>
        <w:t>Que se enquadrem nas seguintes vedações:</w:t>
      </w:r>
    </w:p>
    <w:p w:rsidR="00160FA6" w:rsidRPr="00F20095" w:rsidRDefault="00160FA6" w:rsidP="00160FA6">
      <w:pPr>
        <w:pStyle w:val="PargrafodaLista"/>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160FA6" w:rsidRPr="00F20095" w:rsidRDefault="00160FA6" w:rsidP="00160FA6">
      <w:pPr>
        <w:autoSpaceDE w:val="0"/>
        <w:autoSpaceDN w:val="0"/>
        <w:adjustRightInd w:val="0"/>
        <w:spacing w:after="0" w:line="240" w:lineRule="auto"/>
        <w:jc w:val="both"/>
        <w:rPr>
          <w:rFonts w:ascii="Bookman Old Style" w:hAnsi="Bookman Old Style"/>
          <w:sz w:val="20"/>
          <w:szCs w:val="20"/>
        </w:rPr>
      </w:pP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160FA6" w:rsidRPr="00F20095" w:rsidRDefault="00160FA6" w:rsidP="00160FA6">
      <w:pPr>
        <w:autoSpaceDE w:val="0"/>
        <w:autoSpaceDN w:val="0"/>
        <w:adjustRightInd w:val="0"/>
        <w:spacing w:after="0" w:line="240" w:lineRule="auto"/>
        <w:jc w:val="both"/>
        <w:rPr>
          <w:rFonts w:ascii="Bookman Old Style" w:hAnsi="Bookman Old Style" w:cs="Times New Roman"/>
          <w:sz w:val="20"/>
          <w:szCs w:val="20"/>
        </w:rPr>
      </w:pPr>
    </w:p>
    <w:p w:rsidR="00160FA6" w:rsidRPr="00F20095"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Será permitida a participação de cooperativas, desde que apresentem demonstrativo de </w:t>
      </w:r>
      <w:proofErr w:type="gramStart"/>
      <w:r w:rsidRPr="00F20095">
        <w:rPr>
          <w:rFonts w:ascii="Bookman Old Style" w:hAnsi="Bookman Old Style" w:cs="Times New Roman"/>
          <w:sz w:val="20"/>
          <w:szCs w:val="20"/>
        </w:rPr>
        <w:t>atuação</w:t>
      </w:r>
      <w:proofErr w:type="gramEnd"/>
      <w:r w:rsidRPr="00F20095">
        <w:rPr>
          <w:rFonts w:ascii="Bookman Old Style" w:hAnsi="Bookman Old Style" w:cs="Times New Roman"/>
          <w:sz w:val="20"/>
          <w:szCs w:val="20"/>
        </w:rPr>
        <w:t xml:space="preserve"> em regime cooperado, com repartição de receitas e despesas entre os cooperados e atendam ao art. 16 da Lei n° 14.133/21.</w:t>
      </w:r>
    </w:p>
    <w:p w:rsidR="00160FA6" w:rsidRPr="00F20095" w:rsidRDefault="00160FA6" w:rsidP="00160FA6">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160FA6" w:rsidRPr="00F20095" w:rsidRDefault="00160FA6" w:rsidP="00160FA6">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160FA6" w:rsidRPr="00F20095" w:rsidRDefault="00160FA6" w:rsidP="00160FA6">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160FA6" w:rsidRPr="00F20095" w:rsidRDefault="00160FA6" w:rsidP="00160FA6">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60FA6" w:rsidRPr="00F20095" w:rsidRDefault="00160FA6" w:rsidP="00160FA6">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160FA6" w:rsidRPr="00F20095" w:rsidRDefault="00160FA6" w:rsidP="00160FA6">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160FA6" w:rsidRPr="00F20095" w:rsidRDefault="00160FA6" w:rsidP="00160FA6">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 proposta também deverá conter declaração de que compreende a integralidade dos custos para atendimento dos direitos trabalhistas assegurados na Constituição Federal, nas leis </w:t>
      </w:r>
      <w:r w:rsidRPr="00F20095">
        <w:rPr>
          <w:rFonts w:ascii="Bookman Old Style" w:hAnsi="Bookman Old Style" w:cs="Arial"/>
          <w:sz w:val="20"/>
          <w:szCs w:val="20"/>
        </w:rPr>
        <w:lastRenderedPageBreak/>
        <w:t>trabalhistas, nas normas infra legais, nas convenções coletivas de trabalho e nos termos de ajustamento de conduta vigentes na data de entrega das propostas.</w:t>
      </w:r>
    </w:p>
    <w:p w:rsidR="00160FA6" w:rsidRPr="00F20095" w:rsidRDefault="00160FA6" w:rsidP="00160FA6">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160FA6" w:rsidRPr="00F20095" w:rsidRDefault="00160FA6" w:rsidP="00160FA6">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160FA6" w:rsidRPr="00B46A4B" w:rsidRDefault="00160FA6" w:rsidP="00160FA6">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160FA6" w:rsidRPr="00F20095" w:rsidRDefault="00160FA6" w:rsidP="00160FA6">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160FA6" w:rsidRPr="00F20095" w:rsidRDefault="00160FA6" w:rsidP="00160FA6">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160FA6" w:rsidRPr="00F20095" w:rsidRDefault="00160FA6" w:rsidP="00160FA6">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160FA6" w:rsidRPr="00F20095" w:rsidRDefault="00160FA6" w:rsidP="00160FA6">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160FA6" w:rsidRPr="00F20095" w:rsidRDefault="00160FA6" w:rsidP="00160FA6">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Neste caso, será encaminhada contraproposta ao fornecedor que tenha apresentado o melhor preço, para que seja obtida melhor proposta com preço compatível ao estimado pela Administração.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160FA6" w:rsidRPr="00F20095" w:rsidRDefault="00160FA6" w:rsidP="00160FA6">
      <w:pPr>
        <w:pStyle w:val="PargrafodaLista"/>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160FA6" w:rsidRPr="00F20095" w:rsidRDefault="00160FA6" w:rsidP="00160FA6">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160FA6" w:rsidRPr="00F20095" w:rsidRDefault="00160FA6" w:rsidP="00160FA6">
      <w:pPr>
        <w:pStyle w:val="PargrafodaLista"/>
        <w:spacing w:before="120" w:after="120" w:line="276" w:lineRule="auto"/>
        <w:ind w:left="0"/>
        <w:jc w:val="both"/>
        <w:rPr>
          <w:rFonts w:ascii="Bookman Old Style" w:hAnsi="Bookman Old Style" w:cs="Arial"/>
          <w:i/>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160FA6" w:rsidRPr="00F20095" w:rsidRDefault="00160FA6" w:rsidP="00160FA6">
      <w:pPr>
        <w:pStyle w:val="PargrafodaLista"/>
        <w:spacing w:before="120" w:after="120" w:line="276" w:lineRule="auto"/>
        <w:ind w:left="0" w:right="-15"/>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lastRenderedPageBreak/>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160FA6" w:rsidRPr="00F20095" w:rsidRDefault="00160FA6" w:rsidP="00160FA6">
      <w:pPr>
        <w:pStyle w:val="PargrafodaLista"/>
        <w:spacing w:before="120" w:after="120" w:line="276" w:lineRule="auto"/>
        <w:ind w:left="0" w:right="-15"/>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160FA6" w:rsidRPr="00F20095" w:rsidRDefault="00160FA6" w:rsidP="00160FA6">
      <w:pPr>
        <w:pStyle w:val="PargrafodaLista"/>
        <w:spacing w:before="120" w:after="120" w:line="276" w:lineRule="auto"/>
        <w:ind w:left="0"/>
        <w:jc w:val="both"/>
        <w:rPr>
          <w:rFonts w:ascii="Bookman Old Style" w:hAnsi="Bookman Old Style" w:cs="Arial"/>
          <w:iCs/>
          <w:sz w:val="20"/>
          <w:szCs w:val="20"/>
        </w:rPr>
      </w:pPr>
    </w:p>
    <w:p w:rsidR="00160FA6" w:rsidRPr="00F20095" w:rsidRDefault="00160FA6" w:rsidP="00160FA6">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160FA6" w:rsidRPr="00F20095" w:rsidRDefault="00160FA6" w:rsidP="00160FA6">
      <w:pPr>
        <w:pStyle w:val="PargrafodaLista"/>
        <w:spacing w:before="120" w:after="120" w:line="276" w:lineRule="auto"/>
        <w:ind w:left="495"/>
        <w:jc w:val="both"/>
        <w:rPr>
          <w:rFonts w:ascii="Bookman Old Style" w:hAnsi="Bookman Old Style" w:cs="Arial"/>
          <w:b/>
          <w:iCs/>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160FA6" w:rsidRPr="00F20095" w:rsidRDefault="00160FA6" w:rsidP="00160FA6">
      <w:pPr>
        <w:pStyle w:val="PargrafodaLista"/>
        <w:spacing w:before="120" w:after="120" w:line="276" w:lineRule="auto"/>
        <w:ind w:left="0"/>
        <w:jc w:val="both"/>
        <w:rPr>
          <w:rFonts w:ascii="Bookman Old Style" w:hAnsi="Bookman Old Style" w:cs="Arial"/>
          <w:b/>
          <w:sz w:val="20"/>
          <w:szCs w:val="20"/>
          <w:lang w:eastAsia="ar-SA"/>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160FA6" w:rsidRPr="00F20095" w:rsidRDefault="00160FA6" w:rsidP="00160FA6">
      <w:pPr>
        <w:pStyle w:val="PargrafodaLista"/>
        <w:spacing w:before="120" w:after="120" w:line="276" w:lineRule="auto"/>
        <w:ind w:left="0"/>
        <w:jc w:val="both"/>
        <w:rPr>
          <w:rFonts w:ascii="Bookman Old Style" w:hAnsi="Bookman Old Style" w:cs="Arial"/>
          <w:bCs/>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160FA6" w:rsidRPr="00F20095" w:rsidRDefault="00160FA6" w:rsidP="00160FA6">
      <w:pPr>
        <w:pStyle w:val="PargrafodaLista"/>
        <w:spacing w:before="120" w:after="120" w:line="276" w:lineRule="auto"/>
        <w:ind w:left="0"/>
        <w:jc w:val="both"/>
        <w:rPr>
          <w:rFonts w:ascii="Bookman Old Style" w:hAnsi="Bookman Old Style" w:cs="Arial"/>
          <w:sz w:val="20"/>
          <w:szCs w:val="20"/>
        </w:rPr>
      </w:pPr>
    </w:p>
    <w:p w:rsidR="00160FA6" w:rsidRPr="00F20095" w:rsidRDefault="00160FA6" w:rsidP="00160FA6">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160FA6" w:rsidRPr="00F20095" w:rsidRDefault="00160FA6" w:rsidP="00160FA6">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160FA6" w:rsidRPr="00F20095" w:rsidRDefault="00160FA6" w:rsidP="00160FA6">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lastRenderedPageBreak/>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160FA6" w:rsidRPr="00F20095" w:rsidRDefault="00160FA6" w:rsidP="00160FA6">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160FA6" w:rsidRPr="00F20095" w:rsidRDefault="00160FA6" w:rsidP="00160FA6">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160FA6" w:rsidRPr="00F20095" w:rsidRDefault="00160FA6" w:rsidP="00160FA6">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160FA6" w:rsidRPr="00F20095" w:rsidRDefault="00160FA6" w:rsidP="00160FA6">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160FA6" w:rsidRPr="00F20095" w:rsidRDefault="00160FA6" w:rsidP="00160FA6">
      <w:pPr>
        <w:widowControl w:val="0"/>
        <w:spacing w:after="0" w:line="240" w:lineRule="auto"/>
        <w:jc w:val="both"/>
        <w:rPr>
          <w:rFonts w:ascii="Bookman Old Style" w:hAnsi="Bookman Old Style" w:cs="Arial"/>
          <w:b/>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160FA6" w:rsidRPr="00F20095" w:rsidRDefault="00160FA6" w:rsidP="00160FA6">
      <w:pPr>
        <w:pStyle w:val="PargrafodaLista"/>
        <w:widowControl w:val="0"/>
        <w:spacing w:after="0" w:line="240" w:lineRule="auto"/>
        <w:ind w:left="0"/>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 lesivo previsto no </w:t>
      </w:r>
      <w:hyperlink r:id="rId6" w:anchor="art5" w:history="1">
        <w:r w:rsidRPr="00F20095">
          <w:rPr>
            <w:rStyle w:val="Hyperlink"/>
            <w:rFonts w:ascii="Bookman Old Style" w:hAnsi="Bookman Old Style"/>
            <w:color w:val="auto"/>
            <w:sz w:val="20"/>
            <w:szCs w:val="20"/>
          </w:rPr>
          <w:t>art. 5º da Lei nº 12.846, de 1º de agosto de 2013.</w:t>
        </w:r>
      </w:hyperlink>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160FA6" w:rsidRPr="00F20095" w:rsidRDefault="00160FA6" w:rsidP="00160FA6">
      <w:pPr>
        <w:widowControl w:val="0"/>
        <w:spacing w:after="0" w:line="240" w:lineRule="auto"/>
        <w:jc w:val="both"/>
        <w:rPr>
          <w:rFonts w:ascii="Bookman Old Style" w:hAnsi="Bookman Old Style" w:cs="Arial"/>
          <w:b/>
          <w:sz w:val="20"/>
          <w:szCs w:val="20"/>
        </w:rPr>
      </w:pPr>
    </w:p>
    <w:p w:rsidR="00160FA6" w:rsidRPr="00F20095" w:rsidRDefault="00160FA6" w:rsidP="00160FA6">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160FA6" w:rsidRPr="00F20095" w:rsidRDefault="00160FA6" w:rsidP="00160FA6">
      <w:pPr>
        <w:widowControl w:val="0"/>
        <w:spacing w:after="0" w:line="240" w:lineRule="auto"/>
        <w:jc w:val="both"/>
        <w:rPr>
          <w:rFonts w:ascii="Bookman Old Style" w:hAnsi="Bookman Old Style" w:cs="Arial"/>
          <w:i/>
          <w:iCs/>
          <w:sz w:val="20"/>
          <w:szCs w:val="20"/>
        </w:rPr>
      </w:pPr>
    </w:p>
    <w:p w:rsidR="00160FA6" w:rsidRPr="00F20095" w:rsidRDefault="00160FA6" w:rsidP="00160FA6">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160FA6" w:rsidRPr="00F20095" w:rsidRDefault="00160FA6" w:rsidP="00160FA6">
      <w:pPr>
        <w:widowControl w:val="0"/>
        <w:spacing w:after="0" w:line="240" w:lineRule="auto"/>
        <w:jc w:val="both"/>
        <w:rPr>
          <w:rFonts w:ascii="Bookman Old Style" w:hAnsi="Bookman Old Style" w:cs="Arial"/>
          <w:bCs/>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160FA6" w:rsidRPr="00F20095" w:rsidRDefault="00160FA6" w:rsidP="00160FA6">
      <w:pPr>
        <w:widowControl w:val="0"/>
        <w:jc w:val="both"/>
        <w:rPr>
          <w:rFonts w:ascii="Bookman Old Style" w:hAnsi="Bookman Old Style" w:cs="Arial"/>
          <w:sz w:val="20"/>
          <w:szCs w:val="20"/>
        </w:rPr>
      </w:pPr>
    </w:p>
    <w:p w:rsidR="00160FA6" w:rsidRPr="00F20095" w:rsidRDefault="00160FA6" w:rsidP="00160FA6">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No caso de todos os fornecedores restarem desclassificados ou inabilitados (procedimento fracassado), a Administração poderá:</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D29A2"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160FA6" w:rsidRPr="00F20095" w:rsidRDefault="00160FA6" w:rsidP="00160FA6">
      <w:pPr>
        <w:widowControl w:val="0"/>
        <w:spacing w:after="0" w:line="240" w:lineRule="auto"/>
        <w:jc w:val="both"/>
        <w:rPr>
          <w:rFonts w:ascii="Bookman Old Style" w:hAnsi="Bookman Old Style" w:cs="Arial"/>
          <w:sz w:val="20"/>
          <w:szCs w:val="20"/>
        </w:rPr>
      </w:pPr>
    </w:p>
    <w:p w:rsidR="00160FA6" w:rsidRPr="00F20095" w:rsidRDefault="00160FA6" w:rsidP="00160FA6">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160FA6" w:rsidRPr="00397AE3" w:rsidRDefault="00160FA6" w:rsidP="00160FA6">
      <w:pPr>
        <w:widowControl w:val="0"/>
        <w:jc w:val="both"/>
        <w:rPr>
          <w:rFonts w:ascii="Bookman Old Style" w:hAnsi="Bookman Old Style" w:cs="Arial"/>
          <w:i/>
          <w:sz w:val="20"/>
          <w:szCs w:val="20"/>
        </w:rPr>
      </w:pPr>
    </w:p>
    <w:p w:rsidR="00160FA6" w:rsidRPr="00397AE3" w:rsidRDefault="00160FA6" w:rsidP="00160FA6">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lastRenderedPageBreak/>
        <w:t>ANEXO I – Documentação exigida para Habilitação;</w:t>
      </w:r>
    </w:p>
    <w:p w:rsidR="00160FA6" w:rsidRPr="00397AE3" w:rsidRDefault="00160FA6" w:rsidP="00160FA6">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II – Termo de Referência; </w:t>
      </w:r>
    </w:p>
    <w:p w:rsidR="00160FA6" w:rsidRPr="00397AE3" w:rsidRDefault="00160FA6" w:rsidP="00160FA6">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III - Declaração Unificada;</w:t>
      </w:r>
    </w:p>
    <w:p w:rsidR="00160FA6" w:rsidRPr="00397AE3" w:rsidRDefault="00160FA6" w:rsidP="00160FA6">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IV- Modelo de proposta;</w:t>
      </w:r>
    </w:p>
    <w:p w:rsidR="00160FA6" w:rsidRPr="00397AE3" w:rsidRDefault="00160FA6" w:rsidP="00160FA6">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V – Minuta do Contrato.</w:t>
      </w:r>
    </w:p>
    <w:p w:rsidR="00160FA6" w:rsidRPr="00397AE3" w:rsidRDefault="00160FA6" w:rsidP="00160FA6">
      <w:pPr>
        <w:widowControl w:val="0"/>
        <w:rPr>
          <w:rFonts w:ascii="Bookman Old Style" w:hAnsi="Bookman Old Style" w:cs="Arial"/>
          <w:sz w:val="20"/>
          <w:szCs w:val="20"/>
        </w:rPr>
      </w:pPr>
    </w:p>
    <w:p w:rsidR="00160FA6" w:rsidRPr="00397AE3" w:rsidRDefault="00160FA6" w:rsidP="00160FA6">
      <w:pPr>
        <w:widowControl w:val="0"/>
        <w:rPr>
          <w:rFonts w:ascii="Bookman Old Style" w:hAnsi="Bookman Old Style" w:cs="Arial"/>
          <w:b/>
          <w:bCs/>
          <w:sz w:val="20"/>
          <w:szCs w:val="20"/>
        </w:rPr>
      </w:pPr>
    </w:p>
    <w:p w:rsidR="00160FA6" w:rsidRPr="00397AE3" w:rsidRDefault="00160FA6" w:rsidP="00160FA6">
      <w:pPr>
        <w:pStyle w:val="Corpodetexto"/>
        <w:ind w:right="-1"/>
        <w:jc w:val="right"/>
        <w:rPr>
          <w:rFonts w:ascii="Bookman Old Style" w:hAnsi="Bookman Old Style"/>
          <w:sz w:val="20"/>
          <w:szCs w:val="20"/>
        </w:rPr>
      </w:pPr>
      <w:r w:rsidRPr="00397AE3">
        <w:rPr>
          <w:rFonts w:ascii="Bookman Old Style" w:hAnsi="Bookman Old Style"/>
          <w:sz w:val="20"/>
          <w:szCs w:val="20"/>
        </w:rPr>
        <w:t xml:space="preserve">Santo Antonio do Sudoeste - PR, </w:t>
      </w:r>
      <w:r>
        <w:rPr>
          <w:rFonts w:ascii="Bookman Old Style" w:hAnsi="Bookman Old Style"/>
          <w:sz w:val="20"/>
          <w:szCs w:val="20"/>
        </w:rPr>
        <w:t>19</w:t>
      </w:r>
      <w:r>
        <w:rPr>
          <w:rFonts w:ascii="Bookman Old Style" w:hAnsi="Bookman Old Style"/>
          <w:sz w:val="20"/>
          <w:szCs w:val="20"/>
        </w:rPr>
        <w:t xml:space="preserve"> de julh</w:t>
      </w:r>
      <w:r w:rsidRPr="00397AE3">
        <w:rPr>
          <w:rFonts w:ascii="Bookman Old Style" w:hAnsi="Bookman Old Style"/>
          <w:sz w:val="20"/>
          <w:szCs w:val="20"/>
        </w:rPr>
        <w:t>o de 2023.</w:t>
      </w:r>
    </w:p>
    <w:p w:rsidR="00160FA6" w:rsidRPr="00397AE3" w:rsidRDefault="00160FA6" w:rsidP="00160FA6">
      <w:pPr>
        <w:pStyle w:val="Corpodetexto"/>
        <w:ind w:right="793"/>
        <w:rPr>
          <w:rFonts w:ascii="Bookman Old Style" w:hAnsi="Bookman Old Style"/>
          <w:sz w:val="20"/>
          <w:szCs w:val="20"/>
        </w:rPr>
      </w:pPr>
    </w:p>
    <w:p w:rsidR="00160FA6" w:rsidRPr="00397AE3" w:rsidRDefault="00160FA6" w:rsidP="00160FA6">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627E97AD" wp14:editId="2D8DB911">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160FA6" w:rsidRPr="00397AE3" w:rsidRDefault="00160FA6" w:rsidP="00160FA6">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160FA6" w:rsidRPr="00F20095" w:rsidRDefault="00160FA6" w:rsidP="00160FA6">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160FA6" w:rsidRPr="00F20095" w:rsidRDefault="00160FA6" w:rsidP="00160FA6">
      <w:pPr>
        <w:widowControl w:val="0"/>
        <w:jc w:val="center"/>
        <w:rPr>
          <w:rFonts w:ascii="Bookman Old Style" w:hAnsi="Bookman Old Style" w:cs="Arial"/>
          <w:b/>
          <w:bCs/>
          <w:sz w:val="20"/>
          <w:szCs w:val="20"/>
        </w:rPr>
      </w:pPr>
    </w:p>
    <w:p w:rsidR="00160FA6" w:rsidRPr="00F20095" w:rsidRDefault="00160FA6" w:rsidP="00160FA6">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160FA6" w:rsidRPr="00F20095" w:rsidRDefault="00160FA6" w:rsidP="00160FA6">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lastRenderedPageBreak/>
        <w:t xml:space="preserve">ANEXO I </w:t>
      </w:r>
    </w:p>
    <w:p w:rsidR="00160FA6" w:rsidRPr="00256CA5" w:rsidRDefault="00160FA6" w:rsidP="00160FA6">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160FA6" w:rsidRPr="00F20095" w:rsidRDefault="00160FA6" w:rsidP="00160FA6">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160FA6" w:rsidRPr="00F20095" w:rsidRDefault="00160FA6" w:rsidP="00160FA6">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160FA6" w:rsidRPr="00F20095" w:rsidRDefault="00160FA6" w:rsidP="00160FA6">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160FA6" w:rsidRPr="00F20095" w:rsidRDefault="00160FA6" w:rsidP="00160FA6">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60FA6" w:rsidRPr="00F20095" w:rsidRDefault="00160FA6" w:rsidP="00160FA6">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160FA6" w:rsidRPr="00F20095" w:rsidRDefault="00160FA6" w:rsidP="00160FA6">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160FA6" w:rsidRPr="00F20095" w:rsidRDefault="00160FA6" w:rsidP="00160FA6">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160FA6" w:rsidRPr="00F20095" w:rsidRDefault="00160FA6" w:rsidP="00160FA6">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160FA6" w:rsidRPr="00F20095" w:rsidRDefault="00160FA6" w:rsidP="00160FA6">
      <w:pPr>
        <w:pStyle w:val="PargrafodaLista"/>
        <w:widowControl w:val="0"/>
        <w:ind w:left="0"/>
        <w:jc w:val="both"/>
        <w:rPr>
          <w:rFonts w:ascii="Bookman Old Style" w:hAnsi="Bookman Old Style" w:cs="Arial"/>
          <w:bCs/>
          <w:sz w:val="20"/>
          <w:szCs w:val="20"/>
        </w:rPr>
      </w:pPr>
    </w:p>
    <w:p w:rsidR="00160FA6" w:rsidRPr="00F20095" w:rsidRDefault="00160FA6" w:rsidP="00160FA6">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160FA6" w:rsidRPr="00F20095"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160FA6" w:rsidRPr="00F20095"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0FA6" w:rsidRPr="00F20095"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160FA6" w:rsidRPr="00F20095"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160FA6" w:rsidRPr="00F20095"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160FA6" w:rsidRPr="005F18FE" w:rsidRDefault="00160FA6" w:rsidP="00160FA6">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160FA6" w:rsidRPr="00B46A4B"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160FA6" w:rsidRDefault="00160FA6" w:rsidP="00160FA6">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160FA6" w:rsidRDefault="00160FA6" w:rsidP="00160FA6">
      <w:pPr>
        <w:widowControl w:val="0"/>
        <w:tabs>
          <w:tab w:val="left" w:pos="1440"/>
        </w:tabs>
        <w:autoSpaceDE w:val="0"/>
        <w:snapToGrid w:val="0"/>
        <w:spacing w:after="0" w:line="240" w:lineRule="auto"/>
        <w:jc w:val="both"/>
        <w:rPr>
          <w:rFonts w:ascii="Bookman Old Style" w:hAnsi="Bookman Old Style" w:cs="Arial"/>
          <w:b/>
          <w:sz w:val="20"/>
          <w:szCs w:val="20"/>
        </w:rPr>
      </w:pPr>
    </w:p>
    <w:p w:rsidR="00160FA6" w:rsidRDefault="00160FA6" w:rsidP="00160FA6"/>
    <w:p w:rsidR="00160FA6" w:rsidRPr="00FF3EB1" w:rsidRDefault="00160FA6" w:rsidP="00160FA6">
      <w:pPr>
        <w:pStyle w:val="PargrafodaLista"/>
        <w:numPr>
          <w:ilvl w:val="0"/>
          <w:numId w:val="3"/>
        </w:numPr>
        <w:rPr>
          <w:rFonts w:ascii="Bookman Old Style" w:hAnsi="Bookman Old Style"/>
          <w:b/>
          <w:sz w:val="20"/>
          <w:szCs w:val="20"/>
        </w:rPr>
      </w:pPr>
      <w:r w:rsidRPr="00FF3EB1">
        <w:rPr>
          <w:rFonts w:ascii="Bookman Old Style" w:hAnsi="Bookman Old Style"/>
          <w:b/>
          <w:sz w:val="20"/>
          <w:szCs w:val="20"/>
        </w:rPr>
        <w:t>Habilitação técnica:</w:t>
      </w:r>
    </w:p>
    <w:p w:rsidR="00160FA6" w:rsidRPr="00160FA6" w:rsidRDefault="00160FA6" w:rsidP="00160FA6">
      <w:pPr>
        <w:pStyle w:val="PargrafodaLista"/>
        <w:numPr>
          <w:ilvl w:val="1"/>
          <w:numId w:val="3"/>
        </w:numPr>
        <w:ind w:left="0" w:firstLine="0"/>
        <w:rPr>
          <w:rFonts w:ascii="Bookman Old Style" w:hAnsi="Bookman Old Style"/>
          <w:sz w:val="20"/>
          <w:szCs w:val="20"/>
        </w:rPr>
      </w:pPr>
      <w:r w:rsidRPr="00160FA6">
        <w:rPr>
          <w:rFonts w:ascii="Bookman Old Style" w:hAnsi="Bookman Old Style"/>
          <w:sz w:val="20"/>
          <w:szCs w:val="20"/>
        </w:rPr>
        <w:t>Inscrição do técnico responsável pela execução</w:t>
      </w:r>
      <w:r w:rsidRPr="00160FA6">
        <w:rPr>
          <w:rFonts w:ascii="Bookman Old Style" w:hAnsi="Bookman Old Style"/>
          <w:sz w:val="20"/>
          <w:szCs w:val="20"/>
        </w:rPr>
        <w:t xml:space="preserve"> dos serviços de manutenção dos </w:t>
      </w:r>
      <w:r w:rsidRPr="00160FA6">
        <w:rPr>
          <w:rFonts w:ascii="Bookman Old Style" w:hAnsi="Bookman Old Style"/>
          <w:sz w:val="20"/>
          <w:szCs w:val="20"/>
        </w:rPr>
        <w:t>equipa</w:t>
      </w:r>
      <w:r w:rsidRPr="00160FA6">
        <w:rPr>
          <w:rFonts w:ascii="Bookman Old Style" w:hAnsi="Bookman Old Style"/>
          <w:sz w:val="20"/>
          <w:szCs w:val="20"/>
        </w:rPr>
        <w:t>mentos, em órgão de classe (CRM)</w:t>
      </w:r>
    </w:p>
    <w:p w:rsidR="006B0418" w:rsidRDefault="006B0418"/>
    <w:sectPr w:rsidR="006B0418" w:rsidSect="00FD29A2">
      <w:headerReference w:type="default" r:id="rId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160FA6"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287ED8F8" wp14:editId="25565C17">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160FA6"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160FA6"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160FA6"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160FA6"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160FA6"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A6"/>
    <w:rsid w:val="00160FA6"/>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7576-F8DF-414E-ADC0-B606F0F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A6"/>
  </w:style>
  <w:style w:type="paragraph" w:styleId="Ttulo1">
    <w:name w:val="heading 1"/>
    <w:basedOn w:val="Normal"/>
    <w:next w:val="Normal"/>
    <w:link w:val="Ttulo1Char"/>
    <w:uiPriority w:val="9"/>
    <w:qFormat/>
    <w:rsid w:val="00160FA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0FA6"/>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160F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0FA6"/>
  </w:style>
  <w:style w:type="character" w:styleId="Hyperlink">
    <w:name w:val="Hyperlink"/>
    <w:basedOn w:val="Fontepargpadro"/>
    <w:uiPriority w:val="99"/>
    <w:unhideWhenUsed/>
    <w:rsid w:val="00160FA6"/>
    <w:rPr>
      <w:color w:val="0563C1"/>
      <w:u w:val="single"/>
    </w:rPr>
  </w:style>
  <w:style w:type="paragraph" w:styleId="PargrafodaLista">
    <w:name w:val="List Paragraph"/>
    <w:basedOn w:val="Normal"/>
    <w:uiPriority w:val="1"/>
    <w:qFormat/>
    <w:rsid w:val="00160FA6"/>
    <w:pPr>
      <w:ind w:left="720"/>
      <w:contextualSpacing/>
    </w:pPr>
  </w:style>
  <w:style w:type="paragraph" w:styleId="Corpodetexto">
    <w:name w:val="Body Text"/>
    <w:basedOn w:val="Normal"/>
    <w:link w:val="CorpodetextoChar"/>
    <w:uiPriority w:val="1"/>
    <w:unhideWhenUsed/>
    <w:qFormat/>
    <w:rsid w:val="00160FA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60FA6"/>
    <w:rPr>
      <w:rFonts w:ascii="Times New Roman" w:eastAsia="Times New Roman" w:hAnsi="Times New Roman" w:cs="Times New Roman"/>
      <w:lang w:val="pt-PT"/>
    </w:rPr>
  </w:style>
  <w:style w:type="paragraph" w:customStyle="1" w:styleId="PADRO">
    <w:name w:val="PADRÃO"/>
    <w:rsid w:val="00160FA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1-2014/2013/Lei/L12846.htm" TargetMode="External"/><Relationship Id="rId5" Type="http://schemas.openxmlformats.org/officeDocument/2006/relationships/hyperlink" Target="http://www.pmsas.pr.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3962</Words>
  <Characters>21398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2023-07-28T16:22:00Z</dcterms:created>
  <dcterms:modified xsi:type="dcterms:W3CDTF">2023-07-28T16:27:00Z</dcterms:modified>
</cp:coreProperties>
</file>