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E4D" w:rsidRPr="00E16E4D" w:rsidRDefault="00E16E4D" w:rsidP="00E16E4D">
      <w:pPr>
        <w:widowControl w:val="0"/>
        <w:autoSpaceDE w:val="0"/>
        <w:autoSpaceDN w:val="0"/>
        <w:adjustRightInd w:val="0"/>
        <w:spacing w:after="0" w:line="240" w:lineRule="auto"/>
        <w:jc w:val="center"/>
        <w:rPr>
          <w:rFonts w:ascii="Bookman Old Style" w:eastAsia="Times New Roman" w:hAnsi="Bookman Old Style" w:cs="Bookman Old Style"/>
          <w:b/>
          <w:sz w:val="20"/>
          <w:szCs w:val="20"/>
          <w:lang w:eastAsia="pt-BR"/>
        </w:rPr>
      </w:pPr>
      <w:r w:rsidRPr="00E16E4D">
        <w:rPr>
          <w:rFonts w:ascii="Bookman Old Style" w:eastAsia="Times New Roman" w:hAnsi="Bookman Old Style" w:cs="Bookman Old Style"/>
          <w:b/>
          <w:sz w:val="20"/>
          <w:szCs w:val="20"/>
          <w:lang w:eastAsia="pt-BR"/>
        </w:rPr>
        <w:t xml:space="preserve"> ATA DE REGISTRO DE PREÇOS</w:t>
      </w:r>
      <w:r>
        <w:rPr>
          <w:rFonts w:ascii="Bookman Old Style" w:eastAsia="Times New Roman" w:hAnsi="Bookman Old Style" w:cs="Bookman Old Style"/>
          <w:b/>
          <w:sz w:val="20"/>
          <w:szCs w:val="20"/>
          <w:lang w:eastAsia="pt-BR"/>
        </w:rPr>
        <w:t xml:space="preserve"> 016 2022</w:t>
      </w:r>
    </w:p>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Bookman Old Style"/>
          <w:b/>
          <w:sz w:val="16"/>
          <w:szCs w:val="16"/>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 xml:space="preserve">Aos </w:t>
      </w:r>
      <w:r w:rsidRPr="00F95AFA">
        <w:rPr>
          <w:rFonts w:ascii="Bookman Old Style" w:eastAsia="Times New Roman" w:hAnsi="Bookman Old Style" w:cs="Bookman Old Style"/>
          <w:sz w:val="18"/>
          <w:szCs w:val="18"/>
          <w:lang w:eastAsia="pt-BR"/>
        </w:rPr>
        <w:t xml:space="preserve">07 </w:t>
      </w:r>
      <w:r w:rsidRPr="00E16E4D">
        <w:rPr>
          <w:rFonts w:ascii="Bookman Old Style" w:eastAsia="Times New Roman" w:hAnsi="Bookman Old Style" w:cs="Bookman Old Style"/>
          <w:sz w:val="18"/>
          <w:szCs w:val="18"/>
          <w:lang w:eastAsia="pt-BR"/>
        </w:rPr>
        <w:t xml:space="preserve"> do </w:t>
      </w:r>
      <w:r w:rsidRPr="00F95AFA">
        <w:rPr>
          <w:rFonts w:ascii="Bookman Old Style" w:eastAsia="Times New Roman" w:hAnsi="Bookman Old Style" w:cs="Bookman Old Style"/>
          <w:sz w:val="18"/>
          <w:szCs w:val="18"/>
          <w:lang w:eastAsia="pt-BR"/>
        </w:rPr>
        <w:t>fevereiro</w:t>
      </w:r>
      <w:r w:rsidRPr="00E16E4D">
        <w:rPr>
          <w:rFonts w:ascii="Bookman Old Style" w:eastAsia="Times New Roman" w:hAnsi="Bookman Old Style" w:cs="Bookman Old Style"/>
          <w:sz w:val="18"/>
          <w:szCs w:val="18"/>
          <w:lang w:eastAsia="pt-BR"/>
        </w:rPr>
        <w:t xml:space="preserve"> de do ano de dois mil e vinte e um, o MUNICÍPIO DE SANTO ANTONIO DO SUDOESTE, com sede na Avenida Brasil, 1431, estado do Paraná, inscrito no CNPJ/MF sob o n° 75.5820001-55, neste ato representado pelo Prefeito Municipal, senhor </w:t>
      </w:r>
      <w:r w:rsidRPr="00F95AFA">
        <w:rPr>
          <w:rFonts w:ascii="Bookman Old Style" w:eastAsia="Times New Roman" w:hAnsi="Bookman Old Style" w:cs="Bookman Old Style"/>
          <w:sz w:val="18"/>
          <w:szCs w:val="18"/>
          <w:lang w:eastAsia="pt-BR"/>
        </w:rPr>
        <w:t>RICARDO ANTONIO ORTINA</w:t>
      </w:r>
      <w:r w:rsidRPr="00E16E4D">
        <w:rPr>
          <w:rFonts w:ascii="Bookman Old Style" w:eastAsia="Times New Roman" w:hAnsi="Bookman Old Style" w:cs="Bookman Old Style"/>
          <w:sz w:val="18"/>
          <w:szCs w:val="18"/>
          <w:lang w:eastAsia="pt-BR"/>
        </w:rPr>
        <w:t>, inscrito no CPF sob o nº 020.697.089-77 nos termos do art. 15 da Lei Federal nº 8.666/93 e suas alterações, em face da classificação das propostas apresentada no Pregão Presencial nº 009/2022, por deliberação do Pregoeiro, devidamen</w:t>
      </w:r>
      <w:r w:rsidRPr="00F95AFA">
        <w:rPr>
          <w:rFonts w:ascii="Bookman Old Style" w:eastAsia="Times New Roman" w:hAnsi="Bookman Old Style" w:cs="Bookman Old Style"/>
          <w:sz w:val="18"/>
          <w:szCs w:val="18"/>
          <w:lang w:eastAsia="pt-BR"/>
        </w:rPr>
        <w:t>te</w:t>
      </w:r>
      <w:r w:rsidRPr="00F95AFA">
        <w:rPr>
          <w:sz w:val="18"/>
          <w:szCs w:val="18"/>
        </w:rPr>
        <w:t xml:space="preserve"> </w:t>
      </w:r>
      <w:r w:rsidRPr="00E16E4D">
        <w:rPr>
          <w:rFonts w:ascii="Bookman Old Style" w:eastAsia="Times New Roman" w:hAnsi="Bookman Old Style" w:cs="Bookman Old Style"/>
          <w:sz w:val="18"/>
          <w:szCs w:val="18"/>
          <w:lang w:eastAsia="pt-BR"/>
        </w:rPr>
        <w:t>homologada e publicada no Diário Oficial dos Municípios do Paraná, resolve REGISTRAR OS PREÇOS da empresa</w:t>
      </w:r>
      <w:r w:rsidRPr="00F95AFA">
        <w:rPr>
          <w:rFonts w:ascii="Bookman Old Style" w:eastAsia="Times New Roman" w:hAnsi="Bookman Old Style" w:cs="Bookman Old Style"/>
          <w:sz w:val="18"/>
          <w:szCs w:val="18"/>
          <w:lang w:eastAsia="pt-BR"/>
        </w:rPr>
        <w:t xml:space="preserve"> COMERCIAL WELINGTON EIRELI</w:t>
      </w:r>
      <w:r w:rsidRPr="00E16E4D">
        <w:rPr>
          <w:rFonts w:ascii="Bookman Old Style" w:eastAsia="Times New Roman" w:hAnsi="Bookman Old Style" w:cs="Bookman Old Style"/>
          <w:sz w:val="18"/>
          <w:szCs w:val="18"/>
          <w:lang w:eastAsia="pt-BR"/>
        </w:rPr>
        <w:t xml:space="preserve"> classificada em primeiro lugar, observadas as condições do Edital que rege o Pregão e aquelas enunciadas nas cláusulas que se seguem.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F95AFA"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F95AFA">
        <w:rPr>
          <w:rFonts w:ascii="Bookman Old Style" w:eastAsia="Times New Roman" w:hAnsi="Bookman Old Style" w:cs="Bookman Old Style"/>
          <w:sz w:val="18"/>
          <w:szCs w:val="18"/>
          <w:lang w:eastAsia="pt-BR"/>
        </w:rPr>
        <w:t>COMERCIAL WELINGTON EIRELI,</w:t>
      </w:r>
      <w:r w:rsidRPr="00E16E4D">
        <w:rPr>
          <w:rFonts w:ascii="Bookman Old Style" w:eastAsia="Times New Roman" w:hAnsi="Bookman Old Style" w:cs="Bookman Old Style"/>
          <w:sz w:val="18"/>
          <w:szCs w:val="18"/>
          <w:lang w:eastAsia="pt-BR"/>
        </w:rPr>
        <w:t xml:space="preserve"> sediada na </w:t>
      </w:r>
      <w:proofErr w:type="spellStart"/>
      <w:r w:rsidRPr="00F95AFA">
        <w:rPr>
          <w:rFonts w:ascii="Bookman Old Style" w:eastAsia="Times New Roman" w:hAnsi="Bookman Old Style" w:cs="Bookman Old Style"/>
          <w:sz w:val="18"/>
          <w:szCs w:val="18"/>
          <w:lang w:eastAsia="pt-BR"/>
        </w:rPr>
        <w:t>Av</w:t>
      </w:r>
      <w:proofErr w:type="spellEnd"/>
      <w:r w:rsidRPr="00F95AFA">
        <w:rPr>
          <w:rFonts w:ascii="Bookman Old Style" w:eastAsia="Times New Roman" w:hAnsi="Bookman Old Style" w:cs="Bookman Old Style"/>
          <w:sz w:val="18"/>
          <w:szCs w:val="18"/>
          <w:lang w:eastAsia="pt-BR"/>
        </w:rPr>
        <w:t>: Ramalho Piva</w:t>
      </w:r>
      <w:r w:rsidRPr="00E16E4D">
        <w:rPr>
          <w:rFonts w:ascii="Bookman Old Style" w:eastAsia="Times New Roman" w:hAnsi="Bookman Old Style" w:cs="Bookman Old Style"/>
          <w:sz w:val="18"/>
          <w:szCs w:val="18"/>
          <w:lang w:eastAsia="pt-BR"/>
        </w:rPr>
        <w:t>, nº</w:t>
      </w:r>
      <w:r w:rsidRPr="00F95AFA">
        <w:rPr>
          <w:rFonts w:ascii="Bookman Old Style" w:eastAsia="Times New Roman" w:hAnsi="Bookman Old Style" w:cs="Bookman Old Style"/>
          <w:sz w:val="18"/>
          <w:szCs w:val="18"/>
          <w:lang w:eastAsia="pt-BR"/>
        </w:rPr>
        <w:t>224</w:t>
      </w:r>
      <w:r w:rsidRPr="00E16E4D">
        <w:rPr>
          <w:rFonts w:ascii="Bookman Old Style" w:eastAsia="Times New Roman" w:hAnsi="Bookman Old Style" w:cs="Bookman Old Style"/>
          <w:sz w:val="18"/>
          <w:szCs w:val="18"/>
          <w:lang w:eastAsia="pt-BR"/>
        </w:rPr>
        <w:t xml:space="preserve">, na cidade de </w:t>
      </w:r>
      <w:r w:rsidRPr="00F95AFA">
        <w:rPr>
          <w:rFonts w:ascii="Bookman Old Style" w:eastAsia="Times New Roman" w:hAnsi="Bookman Old Style" w:cs="Bookman Old Style"/>
          <w:sz w:val="18"/>
          <w:szCs w:val="18"/>
          <w:lang w:eastAsia="pt-BR"/>
        </w:rPr>
        <w:t>Santo Antonio do Sudoeste</w:t>
      </w:r>
      <w:r w:rsidRPr="00E16E4D">
        <w:rPr>
          <w:rFonts w:ascii="Bookman Old Style" w:eastAsia="Times New Roman" w:hAnsi="Bookman Old Style" w:cs="Bookman Old Style"/>
          <w:sz w:val="18"/>
          <w:szCs w:val="18"/>
          <w:lang w:eastAsia="pt-BR"/>
        </w:rPr>
        <w:t xml:space="preserve"> Estado do </w:t>
      </w:r>
      <w:r w:rsidRPr="00F95AFA">
        <w:rPr>
          <w:rFonts w:ascii="Bookman Old Style" w:eastAsia="Times New Roman" w:hAnsi="Bookman Old Style" w:cs="Bookman Old Style"/>
          <w:sz w:val="18"/>
          <w:szCs w:val="18"/>
          <w:lang w:eastAsia="pt-BR"/>
        </w:rPr>
        <w:t>Paraná</w:t>
      </w:r>
      <w:r w:rsidRPr="00E16E4D">
        <w:rPr>
          <w:rFonts w:ascii="Bookman Old Style" w:eastAsia="Times New Roman" w:hAnsi="Bookman Old Style" w:cs="Bookman Old Style"/>
          <w:sz w:val="18"/>
          <w:szCs w:val="18"/>
          <w:lang w:eastAsia="pt-BR"/>
        </w:rPr>
        <w:t xml:space="preserve">, inscrita no CNPJ sob o nº </w:t>
      </w:r>
      <w:r w:rsidRPr="00F95AFA">
        <w:rPr>
          <w:rFonts w:ascii="Bookman Old Style" w:eastAsia="Times New Roman" w:hAnsi="Bookman Old Style" w:cs="Bookman Old Style"/>
          <w:sz w:val="18"/>
          <w:szCs w:val="18"/>
          <w:lang w:eastAsia="pt-BR"/>
        </w:rPr>
        <w:t xml:space="preserve">02.993.456/0001-25 </w:t>
      </w:r>
      <w:r w:rsidRPr="00E16E4D">
        <w:rPr>
          <w:rFonts w:ascii="Bookman Old Style" w:eastAsia="Times New Roman" w:hAnsi="Bookman Old Style" w:cs="Bookman Old Style"/>
          <w:sz w:val="18"/>
          <w:szCs w:val="18"/>
          <w:lang w:eastAsia="pt-BR"/>
        </w:rPr>
        <w:t>doravante designada CONTRATADA, neste ato representada por seu sócio administrador Sr</w:t>
      </w:r>
      <w:r w:rsidR="00963D51">
        <w:rPr>
          <w:rFonts w:ascii="Bookman Old Style" w:eastAsia="Times New Roman" w:hAnsi="Bookman Old Style" w:cs="Bookman Old Style"/>
          <w:sz w:val="18"/>
          <w:szCs w:val="18"/>
          <w:lang w:eastAsia="pt-BR"/>
        </w:rPr>
        <w:t>.</w:t>
      </w:r>
      <w:bookmarkStart w:id="0" w:name="_GoBack"/>
      <w:bookmarkEnd w:id="0"/>
      <w:r w:rsidRPr="00F95AFA">
        <w:rPr>
          <w:sz w:val="18"/>
          <w:szCs w:val="18"/>
        </w:rPr>
        <w:t xml:space="preserve"> </w:t>
      </w:r>
      <w:r w:rsidRPr="00F95AFA">
        <w:rPr>
          <w:rFonts w:ascii="Bookman Old Style" w:eastAsia="Times New Roman" w:hAnsi="Bookman Old Style" w:cs="Bookman Old Style"/>
          <w:sz w:val="18"/>
          <w:szCs w:val="18"/>
          <w:lang w:eastAsia="pt-BR"/>
        </w:rPr>
        <w:t xml:space="preserve">WELINGTON ALFREDO PRUNZEL, </w:t>
      </w:r>
      <w:r w:rsidRPr="00E16E4D">
        <w:rPr>
          <w:rFonts w:ascii="Bookman Old Style" w:eastAsia="Times New Roman" w:hAnsi="Bookman Old Style" w:cs="Bookman Old Style"/>
          <w:sz w:val="18"/>
          <w:szCs w:val="18"/>
          <w:lang w:eastAsia="pt-BR"/>
        </w:rPr>
        <w:t xml:space="preserve">portador do RG nº </w:t>
      </w:r>
      <w:r w:rsidRPr="00F95AFA">
        <w:rPr>
          <w:rFonts w:ascii="Bookman Old Style" w:eastAsia="Times New Roman" w:hAnsi="Bookman Old Style" w:cs="Bookman Old Style"/>
          <w:sz w:val="18"/>
          <w:szCs w:val="18"/>
          <w:lang w:eastAsia="pt-BR"/>
        </w:rPr>
        <w:t>7.010.968-9</w:t>
      </w:r>
      <w:r w:rsidRPr="00E16E4D">
        <w:rPr>
          <w:rFonts w:ascii="Bookman Old Style" w:eastAsia="Times New Roman" w:hAnsi="Bookman Old Style" w:cs="Bookman Old Style"/>
          <w:sz w:val="18"/>
          <w:szCs w:val="18"/>
          <w:lang w:eastAsia="pt-BR"/>
        </w:rPr>
        <w:t xml:space="preserve"> e do CPF nº </w:t>
      </w:r>
      <w:r w:rsidRPr="00F95AFA">
        <w:rPr>
          <w:rFonts w:ascii="Bookman Old Style" w:eastAsia="Times New Roman" w:hAnsi="Bookman Old Style" w:cs="Bookman Old Style"/>
          <w:sz w:val="18"/>
          <w:szCs w:val="18"/>
          <w:lang w:eastAsia="pt-BR"/>
        </w:rPr>
        <w:t>003.576.659-02.</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CLÁUSULA PRIMEIRA – DO OBJETO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76"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1.1.</w:t>
      </w:r>
      <w:r w:rsidRPr="00E16E4D">
        <w:rPr>
          <w:rFonts w:ascii="Bookman Old Style" w:eastAsia="Times New Roman" w:hAnsi="Bookman Old Style" w:cs="Bookman Old Style"/>
          <w:sz w:val="18"/>
          <w:szCs w:val="18"/>
          <w:lang w:eastAsia="pt-BR"/>
        </w:rPr>
        <w:tab/>
        <w:t>A presente Ata tem por objeto o REGISTRO DE PREÇO para futura e eventual Aquisição de tintas, materiais de pintura e suplementos para manutenção predial da municipalidade.</w:t>
      </w:r>
    </w:p>
    <w:tbl>
      <w:tblPr>
        <w:tblW w:w="4985" w:type="pct"/>
        <w:tblInd w:w="15" w:type="dxa"/>
        <w:tblLayout w:type="fixed"/>
        <w:tblCellMar>
          <w:top w:w="15" w:type="dxa"/>
          <w:left w:w="15" w:type="dxa"/>
          <w:bottom w:w="15" w:type="dxa"/>
          <w:right w:w="15" w:type="dxa"/>
        </w:tblCellMar>
        <w:tblLook w:val="0000" w:firstRow="0" w:lastRow="0" w:firstColumn="0" w:lastColumn="0" w:noHBand="0" w:noVBand="0"/>
      </w:tblPr>
      <w:tblGrid>
        <w:gridCol w:w="694"/>
        <w:gridCol w:w="435"/>
        <w:gridCol w:w="1124"/>
        <w:gridCol w:w="1980"/>
        <w:gridCol w:w="987"/>
        <w:gridCol w:w="987"/>
        <w:gridCol w:w="988"/>
        <w:gridCol w:w="1269"/>
        <w:gridCol w:w="1129"/>
      </w:tblGrid>
      <w:tr w:rsidR="00E16E4D" w:rsidRPr="00E16E4D" w:rsidTr="000F79FA">
        <w:tc>
          <w:tcPr>
            <w:tcW w:w="9639" w:type="dxa"/>
            <w:gridSpan w:val="9"/>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ITENS</w:t>
            </w:r>
          </w:p>
        </w:tc>
      </w:tr>
      <w:tr w:rsidR="00E16E4D" w:rsidRPr="00E16E4D" w:rsidTr="000F79FA">
        <w:tc>
          <w:tcPr>
            <w:tcW w:w="697" w:type="dxa"/>
            <w:tcBorders>
              <w:top w:val="single" w:sz="6" w:space="0" w:color="000000"/>
              <w:left w:val="single" w:sz="6" w:space="0" w:color="000000"/>
              <w:bottom w:val="single" w:sz="6" w:space="0" w:color="000000"/>
              <w:right w:val="single" w:sz="6" w:space="0" w:color="000000"/>
            </w:tcBorders>
            <w:shd w:val="clear" w:color="auto" w:fill="C0C0C0"/>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Lote</w:t>
            </w:r>
          </w:p>
        </w:tc>
        <w:tc>
          <w:tcPr>
            <w:tcW w:w="437" w:type="dxa"/>
            <w:tcBorders>
              <w:top w:val="single" w:sz="6" w:space="0" w:color="000000"/>
              <w:left w:val="single" w:sz="6" w:space="0" w:color="000000"/>
              <w:bottom w:val="single" w:sz="6" w:space="0" w:color="000000"/>
              <w:right w:val="single" w:sz="6" w:space="0" w:color="000000"/>
            </w:tcBorders>
            <w:shd w:val="clear" w:color="auto" w:fill="C0C0C0"/>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Item</w:t>
            </w:r>
          </w:p>
        </w:tc>
        <w:tc>
          <w:tcPr>
            <w:tcW w:w="1129" w:type="dxa"/>
            <w:tcBorders>
              <w:top w:val="single" w:sz="6" w:space="0" w:color="000000"/>
              <w:left w:val="single" w:sz="6" w:space="0" w:color="000000"/>
              <w:bottom w:val="single" w:sz="6" w:space="0" w:color="000000"/>
              <w:right w:val="single" w:sz="6" w:space="0" w:color="000000"/>
            </w:tcBorders>
            <w:shd w:val="clear" w:color="auto" w:fill="C0C0C0"/>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Código do produto/serviço</w:t>
            </w:r>
          </w:p>
        </w:tc>
        <w:tc>
          <w:tcPr>
            <w:tcW w:w="1990" w:type="dxa"/>
            <w:tcBorders>
              <w:top w:val="single" w:sz="6" w:space="0" w:color="000000"/>
              <w:left w:val="single" w:sz="6" w:space="0" w:color="000000"/>
              <w:bottom w:val="single" w:sz="6" w:space="0" w:color="000000"/>
              <w:right w:val="single" w:sz="6" w:space="0" w:color="000000"/>
            </w:tcBorders>
            <w:shd w:val="clear" w:color="auto" w:fill="C0C0C0"/>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Descrição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Marca do produto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Unidade de medida</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Quantidade</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Preço unitário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Preço total</w:t>
            </w:r>
          </w:p>
        </w:tc>
      </w:tr>
      <w:tr w:rsidR="00E16E4D" w:rsidRPr="00E16E4D" w:rsidTr="000F79FA">
        <w:tc>
          <w:tcPr>
            <w:tcW w:w="697"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LOTE: 001 - Lote 001 - EXCLUSIVO ME- EPP</w:t>
            </w:r>
          </w:p>
        </w:tc>
        <w:tc>
          <w:tcPr>
            <w:tcW w:w="437"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6</w:t>
            </w:r>
          </w:p>
        </w:tc>
        <w:tc>
          <w:tcPr>
            <w:tcW w:w="1129"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19453</w:t>
            </w:r>
          </w:p>
        </w:tc>
        <w:tc>
          <w:tcPr>
            <w:tcW w:w="1990"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 xml:space="preserve">FITA CREPE 5CM  Rolo com 50 metros, Adesivo de alta coesão, Impermeáveis a solventes, tintas, entre outros  </w:t>
            </w:r>
          </w:p>
        </w:tc>
        <w:tc>
          <w:tcPr>
            <w:tcW w:w="992"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ADELBRAZ</w:t>
            </w:r>
          </w:p>
        </w:tc>
        <w:tc>
          <w:tcPr>
            <w:tcW w:w="992"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UN</w:t>
            </w:r>
          </w:p>
        </w:tc>
        <w:tc>
          <w:tcPr>
            <w:tcW w:w="993"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300,00</w:t>
            </w:r>
          </w:p>
        </w:tc>
        <w:tc>
          <w:tcPr>
            <w:tcW w:w="1275"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7,40</w:t>
            </w:r>
          </w:p>
        </w:tc>
        <w:tc>
          <w:tcPr>
            <w:tcW w:w="1134"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2.220,00</w:t>
            </w:r>
          </w:p>
        </w:tc>
      </w:tr>
      <w:tr w:rsidR="00E16E4D" w:rsidRPr="00E16E4D" w:rsidTr="000F79FA">
        <w:tc>
          <w:tcPr>
            <w:tcW w:w="697"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LOTE: 001 - Lote 001 - EXCLUSIVO ME- EPP</w:t>
            </w:r>
          </w:p>
        </w:tc>
        <w:tc>
          <w:tcPr>
            <w:tcW w:w="437"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8</w:t>
            </w:r>
          </w:p>
        </w:tc>
        <w:tc>
          <w:tcPr>
            <w:tcW w:w="1129"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19438</w:t>
            </w:r>
          </w:p>
        </w:tc>
        <w:tc>
          <w:tcPr>
            <w:tcW w:w="1990"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 xml:space="preserve">IMPERMEABILIZANTE embalagem com 3,6 litros  </w:t>
            </w:r>
          </w:p>
        </w:tc>
        <w:tc>
          <w:tcPr>
            <w:tcW w:w="992"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TINSUL</w:t>
            </w:r>
          </w:p>
        </w:tc>
        <w:tc>
          <w:tcPr>
            <w:tcW w:w="992"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GALAO</w:t>
            </w:r>
          </w:p>
        </w:tc>
        <w:tc>
          <w:tcPr>
            <w:tcW w:w="993"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300,00</w:t>
            </w:r>
          </w:p>
        </w:tc>
        <w:tc>
          <w:tcPr>
            <w:tcW w:w="1275"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34,00</w:t>
            </w:r>
          </w:p>
        </w:tc>
        <w:tc>
          <w:tcPr>
            <w:tcW w:w="1134"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10.200,00</w:t>
            </w:r>
          </w:p>
        </w:tc>
      </w:tr>
      <w:tr w:rsidR="00E16E4D" w:rsidRPr="00E16E4D" w:rsidTr="000F79FA">
        <w:tc>
          <w:tcPr>
            <w:tcW w:w="697"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LOTE: 001 - Lote 001 - EXCLUSIVO ME- EPP</w:t>
            </w:r>
          </w:p>
        </w:tc>
        <w:tc>
          <w:tcPr>
            <w:tcW w:w="437"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10</w:t>
            </w:r>
          </w:p>
        </w:tc>
        <w:tc>
          <w:tcPr>
            <w:tcW w:w="1129"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19454</w:t>
            </w:r>
          </w:p>
        </w:tc>
        <w:tc>
          <w:tcPr>
            <w:tcW w:w="1990"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 xml:space="preserve">LIXA 80 Lixa com costado de papel leve, para aplicação no lixamento de paredes, preparação para pintura de ambientes, lixamento de madeiras e uso geral, em rolo de 25 metros.  </w:t>
            </w:r>
          </w:p>
        </w:tc>
        <w:tc>
          <w:tcPr>
            <w:tcW w:w="992"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3M</w:t>
            </w:r>
          </w:p>
        </w:tc>
        <w:tc>
          <w:tcPr>
            <w:tcW w:w="992"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ROLO</w:t>
            </w:r>
          </w:p>
        </w:tc>
        <w:tc>
          <w:tcPr>
            <w:tcW w:w="993"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100,00</w:t>
            </w:r>
          </w:p>
        </w:tc>
        <w:tc>
          <w:tcPr>
            <w:tcW w:w="1275"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95,00</w:t>
            </w:r>
          </w:p>
        </w:tc>
        <w:tc>
          <w:tcPr>
            <w:tcW w:w="1134"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9.500,00</w:t>
            </w:r>
          </w:p>
        </w:tc>
      </w:tr>
      <w:tr w:rsidR="00E16E4D" w:rsidRPr="00E16E4D" w:rsidTr="000F79FA">
        <w:tc>
          <w:tcPr>
            <w:tcW w:w="697"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LOTE: 001 - Lote 001 - EXCLUSIVO ME- EPP</w:t>
            </w:r>
          </w:p>
        </w:tc>
        <w:tc>
          <w:tcPr>
            <w:tcW w:w="437"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16</w:t>
            </w:r>
          </w:p>
        </w:tc>
        <w:tc>
          <w:tcPr>
            <w:tcW w:w="1129"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19419</w:t>
            </w:r>
          </w:p>
        </w:tc>
        <w:tc>
          <w:tcPr>
            <w:tcW w:w="1990"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 xml:space="preserve">RESINA ACRILICA  incolor, a base de agua, 18 litros  </w:t>
            </w:r>
          </w:p>
        </w:tc>
        <w:tc>
          <w:tcPr>
            <w:tcW w:w="992"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TINSUL</w:t>
            </w:r>
          </w:p>
        </w:tc>
        <w:tc>
          <w:tcPr>
            <w:tcW w:w="992"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LATA</w:t>
            </w:r>
          </w:p>
        </w:tc>
        <w:tc>
          <w:tcPr>
            <w:tcW w:w="993"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120,00</w:t>
            </w:r>
          </w:p>
        </w:tc>
        <w:tc>
          <w:tcPr>
            <w:tcW w:w="1275"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216,00</w:t>
            </w:r>
          </w:p>
        </w:tc>
        <w:tc>
          <w:tcPr>
            <w:tcW w:w="1134"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25.920,00</w:t>
            </w:r>
          </w:p>
        </w:tc>
      </w:tr>
      <w:tr w:rsidR="00E16E4D" w:rsidRPr="00E16E4D" w:rsidTr="000F79FA">
        <w:tc>
          <w:tcPr>
            <w:tcW w:w="697"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LOTE: 001 - Lote 001 - EXCLUSIVO ME- EPP</w:t>
            </w:r>
          </w:p>
        </w:tc>
        <w:tc>
          <w:tcPr>
            <w:tcW w:w="437"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18</w:t>
            </w:r>
          </w:p>
        </w:tc>
        <w:tc>
          <w:tcPr>
            <w:tcW w:w="1129"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19442</w:t>
            </w:r>
          </w:p>
        </w:tc>
        <w:tc>
          <w:tcPr>
            <w:tcW w:w="1990"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 xml:space="preserve">ROLO COM ESPUMA, 23 cm para pintura com cabo  </w:t>
            </w:r>
          </w:p>
        </w:tc>
        <w:tc>
          <w:tcPr>
            <w:tcW w:w="992"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ROMA</w:t>
            </w:r>
          </w:p>
        </w:tc>
        <w:tc>
          <w:tcPr>
            <w:tcW w:w="992"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UN</w:t>
            </w:r>
          </w:p>
        </w:tc>
        <w:tc>
          <w:tcPr>
            <w:tcW w:w="993"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48,00</w:t>
            </w:r>
          </w:p>
        </w:tc>
        <w:tc>
          <w:tcPr>
            <w:tcW w:w="1275"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15,30</w:t>
            </w:r>
          </w:p>
        </w:tc>
        <w:tc>
          <w:tcPr>
            <w:tcW w:w="1134"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734,40</w:t>
            </w:r>
          </w:p>
        </w:tc>
      </w:tr>
      <w:tr w:rsidR="00E16E4D" w:rsidRPr="00E16E4D" w:rsidTr="000F79FA">
        <w:tc>
          <w:tcPr>
            <w:tcW w:w="697"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 xml:space="preserve">LOTE: </w:t>
            </w:r>
            <w:r w:rsidRPr="00E16E4D">
              <w:rPr>
                <w:rFonts w:ascii="Bookman Old Style" w:eastAsiaTheme="minorEastAsia" w:hAnsi="Bookman Old Style" w:cs="Arial"/>
                <w:sz w:val="16"/>
                <w:szCs w:val="16"/>
                <w:lang w:val="x-none" w:eastAsia="pt-BR"/>
              </w:rPr>
              <w:lastRenderedPageBreak/>
              <w:t>001 - Lote 001 - EXCLUSIVO ME- EPP</w:t>
            </w:r>
          </w:p>
        </w:tc>
        <w:tc>
          <w:tcPr>
            <w:tcW w:w="437"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lastRenderedPageBreak/>
              <w:t>24</w:t>
            </w:r>
          </w:p>
        </w:tc>
        <w:tc>
          <w:tcPr>
            <w:tcW w:w="1129"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19448</w:t>
            </w:r>
          </w:p>
        </w:tc>
        <w:tc>
          <w:tcPr>
            <w:tcW w:w="1990"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 xml:space="preserve">ROLO DE LÃ 5 cm </w:t>
            </w:r>
            <w:r w:rsidRPr="00E16E4D">
              <w:rPr>
                <w:rFonts w:ascii="Bookman Old Style" w:eastAsiaTheme="minorEastAsia" w:hAnsi="Bookman Old Style" w:cs="Arial"/>
                <w:sz w:val="16"/>
                <w:szCs w:val="16"/>
                <w:lang w:val="x-none" w:eastAsia="pt-BR"/>
              </w:rPr>
              <w:lastRenderedPageBreak/>
              <w:t xml:space="preserve">antigota para pintura, tipo de lã com cabo </w:t>
            </w:r>
          </w:p>
        </w:tc>
        <w:tc>
          <w:tcPr>
            <w:tcW w:w="992"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lastRenderedPageBreak/>
              <w:t>ROMA</w:t>
            </w:r>
          </w:p>
        </w:tc>
        <w:tc>
          <w:tcPr>
            <w:tcW w:w="992"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UN</w:t>
            </w:r>
          </w:p>
        </w:tc>
        <w:tc>
          <w:tcPr>
            <w:tcW w:w="993"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48,00</w:t>
            </w:r>
          </w:p>
        </w:tc>
        <w:tc>
          <w:tcPr>
            <w:tcW w:w="1275"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4,50</w:t>
            </w:r>
          </w:p>
        </w:tc>
        <w:tc>
          <w:tcPr>
            <w:tcW w:w="1134"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216,00</w:t>
            </w:r>
          </w:p>
        </w:tc>
      </w:tr>
      <w:tr w:rsidR="00E16E4D" w:rsidRPr="00E16E4D" w:rsidTr="000F79FA">
        <w:tc>
          <w:tcPr>
            <w:tcW w:w="697"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LOTE: 001 - Lote 001 - EXCLUSIVO ME- EPP</w:t>
            </w:r>
          </w:p>
        </w:tc>
        <w:tc>
          <w:tcPr>
            <w:tcW w:w="437"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25</w:t>
            </w:r>
          </w:p>
        </w:tc>
        <w:tc>
          <w:tcPr>
            <w:tcW w:w="1129"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19456</w:t>
            </w:r>
          </w:p>
        </w:tc>
        <w:tc>
          <w:tcPr>
            <w:tcW w:w="1990"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 xml:space="preserve">SELADOR ACRILICO 18 LITROS  Cor branca, para uso em paredes e pisos, com aplicação mínima de 200m2 a 250m2 por demão.  </w:t>
            </w:r>
          </w:p>
        </w:tc>
        <w:tc>
          <w:tcPr>
            <w:tcW w:w="992"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BELCOLOR</w:t>
            </w:r>
          </w:p>
        </w:tc>
        <w:tc>
          <w:tcPr>
            <w:tcW w:w="992"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LATA</w:t>
            </w:r>
          </w:p>
        </w:tc>
        <w:tc>
          <w:tcPr>
            <w:tcW w:w="993"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450,00</w:t>
            </w:r>
          </w:p>
        </w:tc>
        <w:tc>
          <w:tcPr>
            <w:tcW w:w="1275"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39,80</w:t>
            </w:r>
          </w:p>
        </w:tc>
        <w:tc>
          <w:tcPr>
            <w:tcW w:w="1134"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17.910,00</w:t>
            </w:r>
          </w:p>
        </w:tc>
      </w:tr>
      <w:tr w:rsidR="00E16E4D" w:rsidRPr="00E16E4D" w:rsidTr="000F79FA">
        <w:tc>
          <w:tcPr>
            <w:tcW w:w="697"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LOTE: 001 - Lote 001 - EXCLUSIVO ME- EPP</w:t>
            </w:r>
          </w:p>
        </w:tc>
        <w:tc>
          <w:tcPr>
            <w:tcW w:w="437"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31</w:t>
            </w:r>
          </w:p>
        </w:tc>
        <w:tc>
          <w:tcPr>
            <w:tcW w:w="1129"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19460</w:t>
            </w:r>
          </w:p>
        </w:tc>
        <w:tc>
          <w:tcPr>
            <w:tcW w:w="1990"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 xml:space="preserve">TINTA ACRILICA 18 LITROS STANDART  Cores diversas, com aplicação mínima de 270m2 por demão.  </w:t>
            </w:r>
          </w:p>
        </w:tc>
        <w:tc>
          <w:tcPr>
            <w:tcW w:w="992"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BLASCOR</w:t>
            </w:r>
          </w:p>
        </w:tc>
        <w:tc>
          <w:tcPr>
            <w:tcW w:w="992"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LATA</w:t>
            </w:r>
          </w:p>
        </w:tc>
        <w:tc>
          <w:tcPr>
            <w:tcW w:w="993"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290,00</w:t>
            </w:r>
          </w:p>
        </w:tc>
        <w:tc>
          <w:tcPr>
            <w:tcW w:w="1275"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163,00</w:t>
            </w:r>
          </w:p>
        </w:tc>
        <w:tc>
          <w:tcPr>
            <w:tcW w:w="1134"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47.270,00</w:t>
            </w:r>
          </w:p>
        </w:tc>
      </w:tr>
      <w:tr w:rsidR="00E16E4D" w:rsidRPr="00E16E4D" w:rsidTr="000F79FA">
        <w:tc>
          <w:tcPr>
            <w:tcW w:w="697"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LOTE: 001 - Lote 001 - EXCLUSIVO ME- EPP</w:t>
            </w:r>
          </w:p>
        </w:tc>
        <w:tc>
          <w:tcPr>
            <w:tcW w:w="437"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33</w:t>
            </w:r>
          </w:p>
        </w:tc>
        <w:tc>
          <w:tcPr>
            <w:tcW w:w="1129"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19426</w:t>
            </w:r>
          </w:p>
        </w:tc>
        <w:tc>
          <w:tcPr>
            <w:tcW w:w="1990"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 xml:space="preserve">TINTA ACRÍLICA FOSCA  embalagem com 18 litros, a cor será definida no momento da solicitação. </w:t>
            </w:r>
          </w:p>
        </w:tc>
        <w:tc>
          <w:tcPr>
            <w:tcW w:w="992"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BELCOLOR</w:t>
            </w:r>
          </w:p>
        </w:tc>
        <w:tc>
          <w:tcPr>
            <w:tcW w:w="992"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LATA</w:t>
            </w:r>
          </w:p>
        </w:tc>
        <w:tc>
          <w:tcPr>
            <w:tcW w:w="993"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300,00</w:t>
            </w:r>
          </w:p>
        </w:tc>
        <w:tc>
          <w:tcPr>
            <w:tcW w:w="1275"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89,00</w:t>
            </w:r>
          </w:p>
        </w:tc>
        <w:tc>
          <w:tcPr>
            <w:tcW w:w="1134"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26.700,00</w:t>
            </w:r>
          </w:p>
        </w:tc>
      </w:tr>
      <w:tr w:rsidR="00E16E4D" w:rsidRPr="00E16E4D" w:rsidTr="000F79FA">
        <w:tc>
          <w:tcPr>
            <w:tcW w:w="697"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LOTE: 001 - Lote 001 - EXCLUSIVO ME- EPP</w:t>
            </w:r>
          </w:p>
        </w:tc>
        <w:tc>
          <w:tcPr>
            <w:tcW w:w="437"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38</w:t>
            </w:r>
          </w:p>
        </w:tc>
        <w:tc>
          <w:tcPr>
            <w:tcW w:w="1129"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19432</w:t>
            </w:r>
          </w:p>
        </w:tc>
        <w:tc>
          <w:tcPr>
            <w:tcW w:w="1990"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 xml:space="preserve">TINTA ÓLEO  embalagem com 3,6 litros </w:t>
            </w:r>
          </w:p>
        </w:tc>
        <w:tc>
          <w:tcPr>
            <w:tcW w:w="992"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BLASCOR</w:t>
            </w:r>
          </w:p>
        </w:tc>
        <w:tc>
          <w:tcPr>
            <w:tcW w:w="992"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GALAO</w:t>
            </w:r>
          </w:p>
        </w:tc>
        <w:tc>
          <w:tcPr>
            <w:tcW w:w="993"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400,00</w:t>
            </w:r>
          </w:p>
        </w:tc>
        <w:tc>
          <w:tcPr>
            <w:tcW w:w="1275"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53,80</w:t>
            </w:r>
          </w:p>
        </w:tc>
        <w:tc>
          <w:tcPr>
            <w:tcW w:w="1134"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21.520,00</w:t>
            </w:r>
          </w:p>
        </w:tc>
      </w:tr>
      <w:tr w:rsidR="00E16E4D" w:rsidRPr="00E16E4D" w:rsidTr="000F79FA">
        <w:tc>
          <w:tcPr>
            <w:tcW w:w="697"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LOTE: 002 - Lote 002- COTA RESERVADA 25% EXCLUSIVO ME - EPP</w:t>
            </w:r>
          </w:p>
        </w:tc>
        <w:tc>
          <w:tcPr>
            <w:tcW w:w="437"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1</w:t>
            </w:r>
          </w:p>
        </w:tc>
        <w:tc>
          <w:tcPr>
            <w:tcW w:w="1129"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19459</w:t>
            </w:r>
          </w:p>
        </w:tc>
        <w:tc>
          <w:tcPr>
            <w:tcW w:w="1990"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 xml:space="preserve">TINTA ACRILICA 18 LITROS ECONOMICA  Cores diversas, com aplicação mínima de 216m2 por demão.  </w:t>
            </w:r>
          </w:p>
        </w:tc>
        <w:tc>
          <w:tcPr>
            <w:tcW w:w="992"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BLASCOR</w:t>
            </w:r>
          </w:p>
        </w:tc>
        <w:tc>
          <w:tcPr>
            <w:tcW w:w="992"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LATA</w:t>
            </w:r>
          </w:p>
        </w:tc>
        <w:tc>
          <w:tcPr>
            <w:tcW w:w="993"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75,00</w:t>
            </w:r>
          </w:p>
        </w:tc>
        <w:tc>
          <w:tcPr>
            <w:tcW w:w="1275"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190,00</w:t>
            </w:r>
          </w:p>
        </w:tc>
        <w:tc>
          <w:tcPr>
            <w:tcW w:w="1134"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14.250,00</w:t>
            </w:r>
          </w:p>
        </w:tc>
      </w:tr>
      <w:tr w:rsidR="00E16E4D" w:rsidRPr="00E16E4D" w:rsidTr="000F79FA">
        <w:tc>
          <w:tcPr>
            <w:tcW w:w="697"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LOTE: 002 - Lote 002- COTA RESERVADA 25% EXCLUSIVO ME - EPP</w:t>
            </w:r>
          </w:p>
        </w:tc>
        <w:tc>
          <w:tcPr>
            <w:tcW w:w="437"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3</w:t>
            </w:r>
          </w:p>
        </w:tc>
        <w:tc>
          <w:tcPr>
            <w:tcW w:w="1129"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19462</w:t>
            </w:r>
          </w:p>
        </w:tc>
        <w:tc>
          <w:tcPr>
            <w:tcW w:w="1990"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 xml:space="preserve">TINTA ESMALTE SINTETICO 18 LITROS STANDART  Cores diversas, com aplicação mínima de 200m2 a 250m2 por demão.  </w:t>
            </w:r>
          </w:p>
        </w:tc>
        <w:tc>
          <w:tcPr>
            <w:tcW w:w="992"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BLASCOR</w:t>
            </w:r>
          </w:p>
        </w:tc>
        <w:tc>
          <w:tcPr>
            <w:tcW w:w="992"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LATA</w:t>
            </w:r>
          </w:p>
        </w:tc>
        <w:tc>
          <w:tcPr>
            <w:tcW w:w="993"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75,00</w:t>
            </w:r>
          </w:p>
        </w:tc>
        <w:tc>
          <w:tcPr>
            <w:tcW w:w="1275"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230,00</w:t>
            </w:r>
          </w:p>
        </w:tc>
        <w:tc>
          <w:tcPr>
            <w:tcW w:w="1134"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17.250,00</w:t>
            </w:r>
          </w:p>
        </w:tc>
      </w:tr>
      <w:tr w:rsidR="00E16E4D" w:rsidRPr="00E16E4D" w:rsidTr="000F79FA">
        <w:tc>
          <w:tcPr>
            <w:tcW w:w="697"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 xml:space="preserve">LOTE: 002 - Lote 002- </w:t>
            </w:r>
            <w:r w:rsidRPr="00E16E4D">
              <w:rPr>
                <w:rFonts w:ascii="Bookman Old Style" w:eastAsiaTheme="minorEastAsia" w:hAnsi="Bookman Old Style" w:cs="Arial"/>
                <w:sz w:val="16"/>
                <w:szCs w:val="16"/>
                <w:lang w:val="x-none" w:eastAsia="pt-BR"/>
              </w:rPr>
              <w:lastRenderedPageBreak/>
              <w:t>COTA RESERVADA 25% EXCLUSIVO ME - EPP</w:t>
            </w:r>
          </w:p>
        </w:tc>
        <w:tc>
          <w:tcPr>
            <w:tcW w:w="437"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lastRenderedPageBreak/>
              <w:t>4</w:t>
            </w:r>
          </w:p>
        </w:tc>
        <w:tc>
          <w:tcPr>
            <w:tcW w:w="1129"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19431</w:t>
            </w:r>
          </w:p>
        </w:tc>
        <w:tc>
          <w:tcPr>
            <w:tcW w:w="1990"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 xml:space="preserve">TINTA ÓLEO  embalagem com 18 litros </w:t>
            </w:r>
          </w:p>
        </w:tc>
        <w:tc>
          <w:tcPr>
            <w:tcW w:w="992"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BLASCOR</w:t>
            </w:r>
          </w:p>
        </w:tc>
        <w:tc>
          <w:tcPr>
            <w:tcW w:w="992"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LATA</w:t>
            </w:r>
          </w:p>
        </w:tc>
        <w:tc>
          <w:tcPr>
            <w:tcW w:w="993"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63,00</w:t>
            </w:r>
          </w:p>
        </w:tc>
        <w:tc>
          <w:tcPr>
            <w:tcW w:w="1275"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200,00</w:t>
            </w:r>
          </w:p>
        </w:tc>
        <w:tc>
          <w:tcPr>
            <w:tcW w:w="1134"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12.600,00</w:t>
            </w:r>
          </w:p>
        </w:tc>
      </w:tr>
      <w:tr w:rsidR="00E16E4D" w:rsidRPr="00E16E4D" w:rsidTr="000F79FA">
        <w:tc>
          <w:tcPr>
            <w:tcW w:w="697"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LOTE: 003 - Lote 003 - AMPLA CONCORRENCIA</w:t>
            </w:r>
          </w:p>
        </w:tc>
        <w:tc>
          <w:tcPr>
            <w:tcW w:w="437"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4</w:t>
            </w:r>
          </w:p>
        </w:tc>
        <w:tc>
          <w:tcPr>
            <w:tcW w:w="1129"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19431</w:t>
            </w:r>
          </w:p>
        </w:tc>
        <w:tc>
          <w:tcPr>
            <w:tcW w:w="1990"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 xml:space="preserve">TINTA ÓLEO  embalagem com 18 litros </w:t>
            </w:r>
          </w:p>
        </w:tc>
        <w:tc>
          <w:tcPr>
            <w:tcW w:w="992"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BLASCOR</w:t>
            </w:r>
          </w:p>
        </w:tc>
        <w:tc>
          <w:tcPr>
            <w:tcW w:w="992"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LATA</w:t>
            </w:r>
          </w:p>
        </w:tc>
        <w:tc>
          <w:tcPr>
            <w:tcW w:w="993"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187,00</w:t>
            </w:r>
          </w:p>
        </w:tc>
        <w:tc>
          <w:tcPr>
            <w:tcW w:w="1275"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200,00</w:t>
            </w:r>
          </w:p>
        </w:tc>
        <w:tc>
          <w:tcPr>
            <w:tcW w:w="1134"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37.400,00</w:t>
            </w:r>
          </w:p>
        </w:tc>
      </w:tr>
      <w:tr w:rsidR="00E16E4D" w:rsidRPr="00E16E4D" w:rsidTr="000F79FA">
        <w:tc>
          <w:tcPr>
            <w:tcW w:w="8505" w:type="dxa"/>
            <w:gridSpan w:val="8"/>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p>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TOTAL</w:t>
            </w:r>
          </w:p>
        </w:tc>
        <w:tc>
          <w:tcPr>
            <w:tcW w:w="1134"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p>
          <w:p w:rsidR="00E16E4D" w:rsidRPr="00E16E4D" w:rsidRDefault="00E16E4D" w:rsidP="00E16E4D">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E16E4D">
              <w:rPr>
                <w:rFonts w:ascii="Bookman Old Style" w:eastAsiaTheme="minorEastAsia" w:hAnsi="Bookman Old Style" w:cs="Arial"/>
                <w:sz w:val="16"/>
                <w:szCs w:val="16"/>
                <w:lang w:val="x-none" w:eastAsia="pt-BR"/>
              </w:rPr>
              <w:t>243.690,40</w:t>
            </w:r>
          </w:p>
        </w:tc>
      </w:tr>
    </w:tbl>
    <w:p w:rsidR="00E16E4D" w:rsidRPr="00E16E4D" w:rsidRDefault="00E16E4D" w:rsidP="00E16E4D">
      <w:pPr>
        <w:adjustRightInd w:val="0"/>
        <w:rPr>
          <w:rFonts w:ascii="Bookman Old Style" w:eastAsia="Times New Roman" w:hAnsi="Bookman Old Style" w:cs="Cambria"/>
          <w:color w:val="000000"/>
          <w:sz w:val="16"/>
          <w:szCs w:val="16"/>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F95AFA">
        <w:rPr>
          <w:rFonts w:ascii="Bookman Old Style" w:eastAsia="Times New Roman" w:hAnsi="Bookman Old Style" w:cs="Bookman Old Style"/>
          <w:sz w:val="18"/>
          <w:szCs w:val="18"/>
          <w:lang w:eastAsia="pt-BR"/>
        </w:rPr>
        <w:t>1.2.</w:t>
      </w:r>
      <w:r w:rsidRPr="00F95AFA">
        <w:rPr>
          <w:rFonts w:ascii="Bookman Old Style" w:eastAsia="Times New Roman" w:hAnsi="Bookman Old Style" w:cs="Bookman Old Style"/>
          <w:sz w:val="18"/>
          <w:szCs w:val="18"/>
          <w:lang w:eastAsia="pt-BR"/>
        </w:rPr>
        <w:tab/>
        <w:t xml:space="preserve"> Valor total da Ata R$ 243.690,40</w:t>
      </w:r>
      <w:r w:rsidRPr="00E16E4D">
        <w:rPr>
          <w:rFonts w:ascii="Bookman Old Style" w:eastAsia="Times New Roman" w:hAnsi="Bookman Old Style" w:cs="Bookman Old Style"/>
          <w:sz w:val="18"/>
          <w:szCs w:val="18"/>
          <w:lang w:eastAsia="pt-BR"/>
        </w:rPr>
        <w:t xml:space="preserve"> (</w:t>
      </w:r>
      <w:proofErr w:type="gramStart"/>
      <w:r w:rsidRPr="00F95AFA">
        <w:rPr>
          <w:rFonts w:ascii="Bookman Old Style" w:eastAsia="Times New Roman" w:hAnsi="Bookman Old Style" w:cs="Bookman Old Style"/>
          <w:sz w:val="18"/>
          <w:szCs w:val="18"/>
          <w:lang w:eastAsia="pt-BR"/>
        </w:rPr>
        <w:t>Duzentos quarenta três mil seiscentos noventa</w:t>
      </w:r>
      <w:proofErr w:type="gramEnd"/>
      <w:r w:rsidRPr="00F95AFA">
        <w:rPr>
          <w:rFonts w:ascii="Bookman Old Style" w:eastAsia="Times New Roman" w:hAnsi="Bookman Old Style" w:cs="Bookman Old Style"/>
          <w:sz w:val="18"/>
          <w:szCs w:val="18"/>
          <w:lang w:eastAsia="pt-BR"/>
        </w:rPr>
        <w:t xml:space="preserve"> reais quarenta centavos</w:t>
      </w:r>
      <w:r w:rsidRPr="00E16E4D">
        <w:rPr>
          <w:rFonts w:ascii="Bookman Old Style" w:eastAsia="Times New Roman" w:hAnsi="Bookman Old Style" w:cs="Bookman Old Style"/>
          <w:sz w:val="18"/>
          <w:szCs w:val="18"/>
          <w:lang w:eastAsia="pt-BR"/>
        </w:rPr>
        <w:t>).</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1.3.</w:t>
      </w:r>
      <w:r w:rsidRPr="00E16E4D">
        <w:rPr>
          <w:rFonts w:ascii="Bookman Old Style" w:eastAsia="Times New Roman" w:hAnsi="Bookman Old Style" w:cs="Bookman Old Style"/>
          <w:sz w:val="18"/>
          <w:szCs w:val="18"/>
          <w:lang w:eastAsia="pt-BR"/>
        </w:rPr>
        <w:tab/>
        <w:t xml:space="preserve">Este instrumento de registro de preços não obriga a Administração a firmar as contratações com a CONTRATADA, ficando-lhe facultada a utilização de outros meios, assegurados, nesta hipótese, a preferência do beneficiário do registro em igualdade de condições, nos termos do parágrafo quarto, artigo 15, da Lei Federal nº 8.666/93 e suas alterações.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 xml:space="preserve">CLÁUSULA SEGUNDA – DA VALIDADE DO REGISTRO DE PREÇOS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2.1.</w:t>
      </w:r>
      <w:r w:rsidRPr="00E16E4D">
        <w:rPr>
          <w:rFonts w:ascii="Bookman Old Style" w:eastAsia="Times New Roman" w:hAnsi="Bookman Old Style" w:cs="Bookman Old Style"/>
          <w:sz w:val="18"/>
          <w:szCs w:val="18"/>
          <w:lang w:eastAsia="pt-BR"/>
        </w:rPr>
        <w:tab/>
        <w:t>A presente Ata terá validade por 12 (doze) meses, a partir de sua assinatura.</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2.2.</w:t>
      </w:r>
      <w:r w:rsidRPr="00E16E4D">
        <w:rPr>
          <w:rFonts w:ascii="Bookman Old Style" w:eastAsia="Times New Roman" w:hAnsi="Bookman Old Style" w:cs="Bookman Old Style"/>
          <w:sz w:val="18"/>
          <w:szCs w:val="18"/>
          <w:lang w:eastAsia="pt-BR"/>
        </w:rPr>
        <w:tab/>
        <w:t xml:space="preserve">O prazo de validade da ata de registro de preços não será superior a doze meses, incluídas eventuais prorrogações, conforme o inciso III do § 3º do art. 15 da Lei nº 8.666, de 1993.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2.3.</w:t>
      </w:r>
      <w:r w:rsidRPr="00E16E4D">
        <w:rPr>
          <w:rFonts w:ascii="Bookman Old Style" w:eastAsia="Times New Roman" w:hAnsi="Bookman Old Style" w:cs="Bookman Old Style"/>
          <w:sz w:val="18"/>
          <w:szCs w:val="18"/>
          <w:lang w:eastAsia="pt-BR"/>
        </w:rPr>
        <w:tab/>
        <w:t>É vedado efetuar acréscimos nos quantitativos fixados pela ata de registro de preços, inclusive o acréscimo de que trata o § 1º do art. 65 da Lei nº 8.666, de 1993.</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 xml:space="preserve">CLÁUSULA TERCEIRA – DO PRAZO, LOCAL DE ENTREGA E CONDIÇÕES DE RECEBIMENTO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autoSpaceDE w:val="0"/>
        <w:autoSpaceDN w:val="0"/>
        <w:adjustRightInd w:val="0"/>
        <w:spacing w:after="165" w:line="252"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3.1.</w:t>
      </w:r>
      <w:r w:rsidRPr="00E16E4D">
        <w:rPr>
          <w:rFonts w:ascii="Bookman Old Style" w:eastAsia="Times New Roman" w:hAnsi="Bookman Old Style" w:cs="Bookman Old Style"/>
          <w:sz w:val="18"/>
          <w:szCs w:val="18"/>
          <w:lang w:eastAsia="pt-BR"/>
        </w:rPr>
        <w:tab/>
        <w:t xml:space="preserve">Os produtos deverão ser entregues de forma </w:t>
      </w:r>
      <w:r w:rsidRPr="00E16E4D">
        <w:rPr>
          <w:rFonts w:ascii="Bookman Old Style" w:eastAsia="Times New Roman" w:hAnsi="Bookman Old Style" w:cs="Bookman Old Style"/>
          <w:b/>
          <w:bCs/>
          <w:sz w:val="18"/>
          <w:szCs w:val="18"/>
          <w:lang w:eastAsia="pt-BR"/>
        </w:rPr>
        <w:t>PARCELADA</w:t>
      </w:r>
      <w:r w:rsidRPr="00E16E4D">
        <w:rPr>
          <w:rFonts w:ascii="Bookman Old Style" w:eastAsia="Times New Roman" w:hAnsi="Bookman Old Style" w:cs="Bookman Old Style"/>
          <w:sz w:val="18"/>
          <w:szCs w:val="18"/>
          <w:lang w:eastAsia="pt-BR"/>
        </w:rPr>
        <w:t xml:space="preserve">, no </w:t>
      </w:r>
      <w:r w:rsidRPr="00E16E4D">
        <w:rPr>
          <w:rFonts w:ascii="Bookman Old Style" w:eastAsia="Times New Roman" w:hAnsi="Bookman Old Style" w:cs="Bookman Old Style"/>
          <w:b/>
          <w:bCs/>
          <w:sz w:val="18"/>
          <w:szCs w:val="18"/>
          <w:lang w:eastAsia="pt-BR"/>
        </w:rPr>
        <w:t>prazo máximo de 5 Dias</w:t>
      </w:r>
      <w:r w:rsidRPr="00E16E4D">
        <w:rPr>
          <w:rFonts w:ascii="Bookman Old Style" w:eastAsia="Times New Roman" w:hAnsi="Bookman Old Style" w:cs="Bookman Old Style"/>
          <w:sz w:val="18"/>
          <w:szCs w:val="18"/>
          <w:lang w:eastAsia="pt-BR"/>
        </w:rPr>
        <w:t xml:space="preserve">, sem ônus de entrega ou prestação de acordo com as solicitações da Secretaria Municipal de Administração, juntamente com a solicitação do Departamento de compras mediante nota de empenho. </w:t>
      </w:r>
    </w:p>
    <w:p w:rsidR="00E16E4D" w:rsidRPr="00E16E4D" w:rsidRDefault="00E16E4D" w:rsidP="00E16E4D">
      <w:pPr>
        <w:autoSpaceDE w:val="0"/>
        <w:autoSpaceDN w:val="0"/>
        <w:adjustRightInd w:val="0"/>
        <w:spacing w:after="165" w:line="252"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 xml:space="preserve">3.2. Os produtos deverão ser entregues ou prestados de acordo com as solicitações, pelo período de </w:t>
      </w:r>
      <w:r w:rsidRPr="00E16E4D">
        <w:rPr>
          <w:rFonts w:ascii="Bookman Old Style" w:eastAsia="Times New Roman" w:hAnsi="Bookman Old Style" w:cs="Bookman Old Style"/>
          <w:b/>
          <w:bCs/>
          <w:sz w:val="18"/>
          <w:szCs w:val="18"/>
          <w:lang w:eastAsia="pt-BR"/>
        </w:rPr>
        <w:t>12 (doze) meses</w:t>
      </w:r>
      <w:r w:rsidRPr="00E16E4D">
        <w:rPr>
          <w:rFonts w:ascii="Bookman Old Style" w:eastAsia="Times New Roman" w:hAnsi="Bookman Old Style" w:cs="Bookman Old Style"/>
          <w:sz w:val="18"/>
          <w:szCs w:val="18"/>
          <w:lang w:eastAsia="pt-BR"/>
        </w:rPr>
        <w:t>, que será a vigência da Ata de registro de Preço.</w:t>
      </w:r>
    </w:p>
    <w:p w:rsidR="00E16E4D" w:rsidRPr="00E16E4D" w:rsidRDefault="00E16E4D" w:rsidP="00E16E4D">
      <w:pPr>
        <w:numPr>
          <w:ilvl w:val="1"/>
          <w:numId w:val="1"/>
        </w:numPr>
        <w:autoSpaceDE w:val="0"/>
        <w:autoSpaceDN w:val="0"/>
        <w:adjustRightInd w:val="0"/>
        <w:spacing w:after="165" w:line="252"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Os produtos serão recebidos provisoriamente pelo responsável pelo acompanhamento e fiscalização do contrato, para efeito de posterior verificação de sua conformidade com as especificações constantes no Termo de Referência e Proposta.</w:t>
      </w:r>
    </w:p>
    <w:p w:rsidR="00E16E4D" w:rsidRPr="00E16E4D" w:rsidRDefault="00E16E4D" w:rsidP="00E16E4D">
      <w:pPr>
        <w:numPr>
          <w:ilvl w:val="1"/>
          <w:numId w:val="1"/>
        </w:numPr>
        <w:autoSpaceDE w:val="0"/>
        <w:autoSpaceDN w:val="0"/>
        <w:adjustRightInd w:val="0"/>
        <w:spacing w:after="165" w:line="252"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 xml:space="preserve">Os produtos poderão ser rejeitados no todo ou em parte, quando em desacordo com as especificações constantes neste termo de referência e na proposta, devendo ser substituídos no prazo máximo de </w:t>
      </w:r>
      <w:r w:rsidRPr="00E16E4D">
        <w:rPr>
          <w:rFonts w:ascii="Bookman Old Style" w:eastAsia="Times New Roman" w:hAnsi="Bookman Old Style" w:cs="Bookman Old Style"/>
          <w:b/>
          <w:bCs/>
          <w:sz w:val="18"/>
          <w:szCs w:val="18"/>
          <w:lang w:eastAsia="pt-BR"/>
        </w:rPr>
        <w:t>2 (dois) dias</w:t>
      </w:r>
      <w:r w:rsidRPr="00E16E4D">
        <w:rPr>
          <w:rFonts w:ascii="Bookman Old Style" w:eastAsia="Times New Roman" w:hAnsi="Bookman Old Style" w:cs="Bookman Old Style"/>
          <w:sz w:val="18"/>
          <w:szCs w:val="18"/>
          <w:lang w:eastAsia="pt-BR"/>
        </w:rPr>
        <w:t>, a contar da notificação da contratada, sem prejuízo da aplicação das penalidades.</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 xml:space="preserve">CLÁUSULA QUARTA – DA GARANTIA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jc w:val="both"/>
        <w:rPr>
          <w:rFonts w:ascii="Bookman Old Style" w:eastAsia="Times New Roman" w:hAnsi="Bookman Old Style" w:cs="Times New Roman"/>
          <w:sz w:val="18"/>
          <w:szCs w:val="18"/>
          <w:lang w:eastAsia="zh-CN"/>
        </w:rPr>
      </w:pPr>
      <w:r w:rsidRPr="00E16E4D">
        <w:rPr>
          <w:rFonts w:ascii="Calibri" w:eastAsia="Times New Roman" w:hAnsi="Calibri" w:cs="Times New Roman"/>
          <w:sz w:val="18"/>
          <w:szCs w:val="18"/>
          <w:lang w:eastAsia="zh-CN"/>
        </w:rPr>
        <w:t>4.1</w:t>
      </w:r>
      <w:r w:rsidRPr="00E16E4D">
        <w:rPr>
          <w:rFonts w:ascii="Bookman Old Style" w:eastAsia="Times New Roman" w:hAnsi="Bookman Old Style" w:cs="Times New Roman"/>
          <w:sz w:val="18"/>
          <w:szCs w:val="18"/>
          <w:lang w:eastAsia="zh-CN"/>
        </w:rPr>
        <w:t xml:space="preserve">. Os produtos poderão ser rejeitados no todo, quando em desacordo com as especificações constantes neste termo de referência e na proposta, devendo ser substituídos no prazo máximo de </w:t>
      </w:r>
      <w:r w:rsidRPr="00E16E4D">
        <w:rPr>
          <w:rFonts w:ascii="Bookman Old Style" w:eastAsia="Times New Roman" w:hAnsi="Bookman Old Style" w:cs="Times New Roman"/>
          <w:b/>
          <w:bCs/>
          <w:sz w:val="18"/>
          <w:szCs w:val="18"/>
          <w:lang w:eastAsia="zh-CN"/>
        </w:rPr>
        <w:t>2 (dois) dias</w:t>
      </w:r>
      <w:r w:rsidRPr="00E16E4D">
        <w:rPr>
          <w:rFonts w:ascii="Bookman Old Style" w:eastAsia="Times New Roman" w:hAnsi="Bookman Old Style" w:cs="Times New Roman"/>
          <w:sz w:val="18"/>
          <w:szCs w:val="18"/>
          <w:lang w:eastAsia="zh-CN"/>
        </w:rPr>
        <w:t>, a contar da notificação da contratada, sem prejuízo da aplicação das penalidades.</w:t>
      </w:r>
    </w:p>
    <w:p w:rsidR="00E16E4D" w:rsidRPr="00E16E4D" w:rsidRDefault="00E16E4D" w:rsidP="00E16E4D">
      <w:pPr>
        <w:widowControl w:val="0"/>
        <w:numPr>
          <w:ilvl w:val="1"/>
          <w:numId w:val="2"/>
        </w:numPr>
        <w:autoSpaceDE w:val="0"/>
        <w:autoSpaceDN w:val="0"/>
        <w:adjustRightInd w:val="0"/>
        <w:spacing w:before="15" w:after="0" w:line="240" w:lineRule="auto"/>
        <w:ind w:left="426" w:hanging="426"/>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 xml:space="preserve">A contratada fica obrigada a garantir a qualidade dos produtos ofertados de acordo com as normas pertinentes. </w:t>
      </w:r>
    </w:p>
    <w:p w:rsidR="00E16E4D" w:rsidRPr="00E16E4D" w:rsidRDefault="00E16E4D" w:rsidP="00E16E4D">
      <w:pPr>
        <w:ind w:left="426" w:hanging="426"/>
        <w:jc w:val="both"/>
        <w:rPr>
          <w:rFonts w:ascii="Bookman Old Style" w:eastAsia="Times New Roman" w:hAnsi="Bookman Old Style" w:cs="Times New Roman"/>
          <w:sz w:val="18"/>
          <w:szCs w:val="18"/>
          <w:lang w:eastAsia="zh-CN"/>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CLÁUSULA QUINTA – DAS OBRIGAÇÕES DA CONTRATADA</w:t>
      </w:r>
    </w:p>
    <w:p w:rsidR="00E16E4D" w:rsidRPr="00E16E4D" w:rsidRDefault="00E16E4D" w:rsidP="00E16E4D">
      <w:pPr>
        <w:widowControl w:val="0"/>
        <w:tabs>
          <w:tab w:val="left" w:pos="851"/>
        </w:tabs>
        <w:autoSpaceDE w:val="0"/>
        <w:autoSpaceDN w:val="0"/>
        <w:adjustRightInd w:val="0"/>
        <w:spacing w:after="0" w:line="240" w:lineRule="auto"/>
        <w:ind w:left="284"/>
        <w:jc w:val="both"/>
        <w:rPr>
          <w:rFonts w:ascii="Bookman Old Style" w:eastAsia="Times New Roman" w:hAnsi="Bookman Old Style" w:cs="Bookman Old Style"/>
          <w:sz w:val="18"/>
          <w:szCs w:val="18"/>
          <w:lang w:eastAsia="pt-BR"/>
        </w:rPr>
      </w:pPr>
    </w:p>
    <w:p w:rsidR="00E16E4D" w:rsidRPr="00E16E4D" w:rsidRDefault="00E16E4D" w:rsidP="00E16E4D">
      <w:pPr>
        <w:spacing w:line="240" w:lineRule="auto"/>
        <w:jc w:val="both"/>
        <w:rPr>
          <w:rFonts w:ascii="Bookman Old Style" w:eastAsia="Times New Roman" w:hAnsi="Bookman Old Style" w:cs="Times New Roman"/>
          <w:sz w:val="18"/>
          <w:szCs w:val="18"/>
          <w:lang w:eastAsia="pt-BR"/>
        </w:rPr>
      </w:pPr>
      <w:r w:rsidRPr="00E16E4D">
        <w:rPr>
          <w:rFonts w:ascii="Bookman Old Style" w:eastAsia="Times New Roman" w:hAnsi="Bookman Old Style" w:cs="Times New Roman"/>
          <w:sz w:val="18"/>
          <w:szCs w:val="18"/>
          <w:lang w:eastAsia="pt-BR"/>
        </w:rPr>
        <w:t>5.1. A Ata de Registro de Preço deve cumprir todas as obrigações constantes deste termo de referência e da sua proposta, assumindo como exclusivamente seus os riscos e as despesas decorrentes da boa e perfeita execução do objeto e, ainda:</w:t>
      </w:r>
    </w:p>
    <w:p w:rsidR="00E16E4D" w:rsidRPr="00E16E4D" w:rsidRDefault="00E16E4D" w:rsidP="00E16E4D">
      <w:pPr>
        <w:spacing w:line="240" w:lineRule="auto"/>
        <w:jc w:val="both"/>
        <w:rPr>
          <w:rFonts w:ascii="Bookman Old Style" w:eastAsia="Times New Roman" w:hAnsi="Bookman Old Style" w:cs="Times New Roman"/>
          <w:sz w:val="18"/>
          <w:szCs w:val="18"/>
          <w:lang w:eastAsia="pt-BR"/>
        </w:rPr>
      </w:pPr>
      <w:r w:rsidRPr="00E16E4D">
        <w:rPr>
          <w:rFonts w:ascii="Bookman Old Style" w:eastAsia="Times New Roman" w:hAnsi="Bookman Old Style" w:cs="Times New Roman"/>
          <w:sz w:val="18"/>
          <w:szCs w:val="18"/>
          <w:lang w:eastAsia="pt-BR"/>
        </w:rPr>
        <w:t>5.2. Manter, durante a vigência do registro de preços, todas as condições de habilitação e qualificação exigidos no edital de licitação e anexos.</w:t>
      </w:r>
    </w:p>
    <w:p w:rsidR="00E16E4D" w:rsidRPr="00E16E4D" w:rsidRDefault="00E16E4D" w:rsidP="00E16E4D">
      <w:pPr>
        <w:spacing w:line="240" w:lineRule="auto"/>
        <w:jc w:val="both"/>
        <w:rPr>
          <w:rFonts w:ascii="Bookman Old Style" w:eastAsia="Times New Roman" w:hAnsi="Bookman Old Style" w:cs="Times New Roman"/>
          <w:sz w:val="18"/>
          <w:szCs w:val="18"/>
          <w:lang w:eastAsia="pt-BR"/>
        </w:rPr>
      </w:pPr>
      <w:r w:rsidRPr="00E16E4D">
        <w:rPr>
          <w:rFonts w:ascii="Bookman Old Style" w:eastAsia="Times New Roman" w:hAnsi="Bookman Old Style" w:cs="Times New Roman"/>
          <w:sz w:val="18"/>
          <w:szCs w:val="18"/>
          <w:lang w:eastAsia="pt-BR"/>
        </w:rPr>
        <w:t>5.3.  Apresentar cópia das alterações do ato constitutivo, sempre que houver</w:t>
      </w:r>
    </w:p>
    <w:p w:rsidR="00E16E4D" w:rsidRPr="00E16E4D" w:rsidRDefault="00E16E4D" w:rsidP="00E16E4D">
      <w:pPr>
        <w:spacing w:line="240" w:lineRule="auto"/>
        <w:jc w:val="both"/>
        <w:rPr>
          <w:rFonts w:ascii="Bookman Old Style" w:eastAsia="Times New Roman" w:hAnsi="Bookman Old Style" w:cs="Times New Roman"/>
          <w:sz w:val="18"/>
          <w:szCs w:val="18"/>
          <w:lang w:eastAsia="pt-BR"/>
        </w:rPr>
      </w:pPr>
      <w:r w:rsidRPr="00E16E4D">
        <w:rPr>
          <w:rFonts w:ascii="Bookman Old Style" w:eastAsia="Times New Roman" w:hAnsi="Bookman Old Style" w:cs="Times New Roman"/>
          <w:sz w:val="18"/>
          <w:szCs w:val="18"/>
          <w:lang w:eastAsia="pt-BR"/>
        </w:rPr>
        <w:t>5.4.  Não subcontratar o objeto contratual.</w:t>
      </w:r>
    </w:p>
    <w:p w:rsidR="00E16E4D" w:rsidRPr="00E16E4D" w:rsidRDefault="00E16E4D" w:rsidP="00E16E4D">
      <w:pPr>
        <w:spacing w:line="240" w:lineRule="auto"/>
        <w:jc w:val="both"/>
        <w:rPr>
          <w:rFonts w:ascii="Bookman Old Style" w:eastAsia="Times New Roman" w:hAnsi="Bookman Old Style" w:cs="Times New Roman"/>
          <w:sz w:val="18"/>
          <w:szCs w:val="18"/>
          <w:lang w:eastAsia="pt-BR"/>
        </w:rPr>
      </w:pPr>
      <w:r w:rsidRPr="00E16E4D">
        <w:rPr>
          <w:rFonts w:ascii="Bookman Old Style" w:eastAsia="Times New Roman" w:hAnsi="Bookman Old Style" w:cs="Times New Roman"/>
          <w:sz w:val="18"/>
          <w:szCs w:val="18"/>
          <w:lang w:eastAsia="pt-BR"/>
        </w:rPr>
        <w:t>5.5. Arcar com todas as responsabilidades decorrentes da execução do objeto da licitação, nos termos do código civil e do código de defesa e proteção do consumidor.</w:t>
      </w:r>
    </w:p>
    <w:p w:rsidR="00E16E4D" w:rsidRPr="00E16E4D" w:rsidRDefault="00E16E4D" w:rsidP="00E16E4D">
      <w:pPr>
        <w:spacing w:line="240" w:lineRule="auto"/>
        <w:jc w:val="both"/>
        <w:rPr>
          <w:rFonts w:ascii="Bookman Old Style" w:eastAsia="Times New Roman" w:hAnsi="Bookman Old Style" w:cs="Times New Roman"/>
          <w:sz w:val="18"/>
          <w:szCs w:val="18"/>
          <w:lang w:eastAsia="pt-BR"/>
        </w:rPr>
      </w:pPr>
      <w:r w:rsidRPr="00E16E4D">
        <w:rPr>
          <w:rFonts w:ascii="Bookman Old Style" w:eastAsia="Times New Roman" w:hAnsi="Bookman Old Style" w:cs="Times New Roman"/>
          <w:sz w:val="18"/>
          <w:szCs w:val="18"/>
          <w:lang w:eastAsia="pt-BR"/>
        </w:rPr>
        <w:t>5.6. Executar fielmente o objeto da licitação, de acordo com as cláusulas avençadas e as normas legais aplicáveis, respondendo pelas consequências de sua inexecução total ou parcial.</w:t>
      </w:r>
    </w:p>
    <w:p w:rsidR="00E16E4D" w:rsidRPr="00E16E4D" w:rsidRDefault="00E16E4D" w:rsidP="00E16E4D">
      <w:pPr>
        <w:spacing w:line="240" w:lineRule="auto"/>
        <w:jc w:val="both"/>
        <w:rPr>
          <w:rFonts w:ascii="Bookman Old Style" w:eastAsia="Times New Roman" w:hAnsi="Bookman Old Style" w:cs="Times New Roman"/>
          <w:sz w:val="18"/>
          <w:szCs w:val="18"/>
          <w:lang w:eastAsia="pt-BR"/>
        </w:rPr>
      </w:pPr>
      <w:r w:rsidRPr="00E16E4D">
        <w:rPr>
          <w:rFonts w:ascii="Bookman Old Style" w:eastAsia="Times New Roman" w:hAnsi="Bookman Old Style" w:cs="Times New Roman"/>
          <w:sz w:val="18"/>
          <w:szCs w:val="18"/>
          <w:lang w:eastAsia="pt-BR"/>
        </w:rPr>
        <w:t>5.7. Cumprir rigorosamente os prazos e obrigações fixados neste termo de referência.</w:t>
      </w:r>
    </w:p>
    <w:p w:rsidR="00E16E4D" w:rsidRPr="00E16E4D" w:rsidRDefault="00E16E4D" w:rsidP="00E16E4D">
      <w:pPr>
        <w:spacing w:line="240" w:lineRule="auto"/>
        <w:jc w:val="both"/>
        <w:rPr>
          <w:rFonts w:ascii="Bookman Old Style" w:eastAsia="Times New Roman" w:hAnsi="Bookman Old Style" w:cs="Times New Roman"/>
          <w:sz w:val="18"/>
          <w:szCs w:val="18"/>
          <w:lang w:eastAsia="pt-BR"/>
        </w:rPr>
      </w:pPr>
      <w:r w:rsidRPr="00E16E4D">
        <w:rPr>
          <w:rFonts w:ascii="Bookman Old Style" w:eastAsia="Times New Roman" w:hAnsi="Bookman Old Style" w:cs="Times New Roman"/>
          <w:sz w:val="18"/>
          <w:szCs w:val="18"/>
          <w:lang w:eastAsia="pt-BR"/>
        </w:rPr>
        <w:t xml:space="preserve"> 5.8. Responsabilizar-se por encargos com frete, carregamento e descarregamento.</w:t>
      </w:r>
    </w:p>
    <w:p w:rsidR="00E16E4D" w:rsidRPr="00E16E4D" w:rsidRDefault="00E16E4D" w:rsidP="00E16E4D">
      <w:pPr>
        <w:spacing w:line="240" w:lineRule="auto"/>
        <w:jc w:val="both"/>
        <w:rPr>
          <w:rFonts w:ascii="Bookman Old Style" w:eastAsia="Times New Roman" w:hAnsi="Bookman Old Style" w:cs="Times New Roman"/>
          <w:sz w:val="18"/>
          <w:szCs w:val="18"/>
          <w:lang w:eastAsia="pt-BR"/>
        </w:rPr>
      </w:pPr>
      <w:r w:rsidRPr="00E16E4D">
        <w:rPr>
          <w:rFonts w:ascii="Bookman Old Style" w:eastAsia="Times New Roman" w:hAnsi="Bookman Old Style" w:cs="Times New Roman"/>
          <w:sz w:val="18"/>
          <w:szCs w:val="18"/>
          <w:lang w:eastAsia="pt-BR"/>
        </w:rPr>
        <w:t xml:space="preserve"> 5.9. Responsabilizar-se por todos os custos com deslocamentos, hospedagem, alimentação e demais despesas diretas e indiretas com seus funcionários e prepostos. </w:t>
      </w:r>
    </w:p>
    <w:p w:rsidR="00E16E4D" w:rsidRPr="00E16E4D" w:rsidRDefault="00E16E4D" w:rsidP="00E16E4D">
      <w:pPr>
        <w:spacing w:line="240" w:lineRule="auto"/>
        <w:jc w:val="both"/>
        <w:rPr>
          <w:rFonts w:ascii="Bookman Old Style" w:eastAsia="Times New Roman" w:hAnsi="Bookman Old Style" w:cs="Times New Roman"/>
          <w:sz w:val="18"/>
          <w:szCs w:val="18"/>
          <w:lang w:eastAsia="pt-BR"/>
        </w:rPr>
      </w:pPr>
      <w:r w:rsidRPr="00E16E4D">
        <w:rPr>
          <w:rFonts w:ascii="Bookman Old Style" w:eastAsia="Times New Roman" w:hAnsi="Bookman Old Style" w:cs="Times New Roman"/>
          <w:sz w:val="18"/>
          <w:szCs w:val="18"/>
          <w:lang w:eastAsia="pt-BR"/>
        </w:rPr>
        <w:t xml:space="preserve">5.10. Entregar os produtos devidamente embalados nos invólucros originais, sem sinais de violação e uso, contendo rótulo com identificação do produto e do fabricante, exceto aqueles que eventualmente a legislação ou normas dispensar. </w:t>
      </w:r>
    </w:p>
    <w:p w:rsidR="00E16E4D" w:rsidRPr="00E16E4D" w:rsidRDefault="00E16E4D" w:rsidP="00E16E4D">
      <w:pPr>
        <w:spacing w:line="240" w:lineRule="auto"/>
        <w:jc w:val="both"/>
        <w:rPr>
          <w:rFonts w:ascii="Bookman Old Style" w:eastAsia="Times New Roman" w:hAnsi="Bookman Old Style" w:cs="Times New Roman"/>
          <w:sz w:val="18"/>
          <w:szCs w:val="18"/>
          <w:lang w:eastAsia="pt-BR"/>
        </w:rPr>
      </w:pPr>
      <w:r w:rsidRPr="00E16E4D">
        <w:rPr>
          <w:rFonts w:ascii="Bookman Old Style" w:eastAsia="Times New Roman" w:hAnsi="Bookman Old Style" w:cs="Times New Roman"/>
          <w:sz w:val="18"/>
          <w:szCs w:val="18"/>
          <w:lang w:eastAsia="pt-BR"/>
        </w:rPr>
        <w:t xml:space="preserve">5.11. Substituir todos os produtos que apresentarem defeito ou quaisquer divergências com as especificações fornecidas; </w:t>
      </w:r>
    </w:p>
    <w:p w:rsidR="00E16E4D" w:rsidRPr="00E16E4D" w:rsidRDefault="00E16E4D" w:rsidP="00E16E4D">
      <w:pPr>
        <w:spacing w:line="240" w:lineRule="auto"/>
        <w:jc w:val="both"/>
        <w:rPr>
          <w:rFonts w:ascii="Bookman Old Style" w:eastAsia="Times New Roman" w:hAnsi="Bookman Old Style" w:cs="Times New Roman"/>
          <w:sz w:val="18"/>
          <w:szCs w:val="18"/>
          <w:lang w:eastAsia="pt-BR"/>
        </w:rPr>
      </w:pPr>
      <w:r w:rsidRPr="00E16E4D">
        <w:rPr>
          <w:rFonts w:ascii="Bookman Old Style" w:eastAsia="Times New Roman" w:hAnsi="Bookman Old Style" w:cs="Times New Roman"/>
          <w:sz w:val="18"/>
          <w:szCs w:val="18"/>
          <w:lang w:eastAsia="pt-BR"/>
        </w:rPr>
        <w:t xml:space="preserve">5.12. Não serão aceitos produtos em desacordo com as especificações técnicas contidas neste Termo de Referência e amostra apresentado pelo fornecedor, salvo se comprovado de melhor qualidade; </w:t>
      </w:r>
    </w:p>
    <w:p w:rsidR="00E16E4D" w:rsidRPr="00E16E4D" w:rsidRDefault="00E16E4D" w:rsidP="00E16E4D">
      <w:pPr>
        <w:spacing w:line="240" w:lineRule="auto"/>
        <w:jc w:val="both"/>
        <w:rPr>
          <w:rFonts w:ascii="Bookman Old Style" w:eastAsia="Times New Roman" w:hAnsi="Bookman Old Style" w:cs="Times New Roman"/>
          <w:sz w:val="18"/>
          <w:szCs w:val="18"/>
          <w:lang w:eastAsia="pt-BR"/>
        </w:rPr>
      </w:pPr>
      <w:r w:rsidRPr="00E16E4D">
        <w:rPr>
          <w:rFonts w:ascii="Bookman Old Style" w:eastAsia="Times New Roman" w:hAnsi="Bookman Old Style" w:cs="Times New Roman"/>
          <w:sz w:val="18"/>
          <w:szCs w:val="18"/>
          <w:lang w:eastAsia="pt-BR"/>
        </w:rPr>
        <w:t>5.13. Se a entrega e/ou a substituição dos produtos não for realizada no prazo estipulado, o fornecedor estará sujeita às sanções previstas no Edital e no instrumento contratual.</w:t>
      </w:r>
    </w:p>
    <w:p w:rsidR="00E16E4D" w:rsidRPr="00E16E4D" w:rsidRDefault="00E16E4D" w:rsidP="00E16E4D">
      <w:pPr>
        <w:spacing w:line="240" w:lineRule="auto"/>
        <w:jc w:val="both"/>
        <w:rPr>
          <w:rFonts w:ascii="Bookman Old Style" w:eastAsia="Times New Roman" w:hAnsi="Bookman Old Style" w:cs="Times New Roman"/>
          <w:sz w:val="18"/>
          <w:szCs w:val="18"/>
          <w:lang w:eastAsia="pt-BR"/>
        </w:rPr>
      </w:pPr>
      <w:r w:rsidRPr="00E16E4D">
        <w:rPr>
          <w:rFonts w:ascii="Bookman Old Style" w:eastAsia="Times New Roman" w:hAnsi="Bookman Old Style" w:cs="Times New Roman"/>
          <w:sz w:val="18"/>
          <w:szCs w:val="18"/>
          <w:lang w:eastAsia="pt-BR"/>
        </w:rPr>
        <w:t xml:space="preserve"> 5.14. O recebimento dos produtos, mesmo que definitivo, não exclui a responsabilidade do fornecedor pela qualidade e características dos produtos entregues, cabendo-lhe sanar quaisquer irregularidades detectadas quando da utilização dos mesmos, durante todo o prazo de vigência da ata; </w:t>
      </w:r>
    </w:p>
    <w:p w:rsidR="00E16E4D" w:rsidRPr="00E16E4D" w:rsidRDefault="00E16E4D" w:rsidP="00E16E4D">
      <w:pPr>
        <w:spacing w:line="240" w:lineRule="auto"/>
        <w:jc w:val="both"/>
        <w:rPr>
          <w:rFonts w:ascii="Bookman Old Style" w:eastAsia="Times New Roman" w:hAnsi="Bookman Old Style" w:cs="Times New Roman"/>
          <w:sz w:val="18"/>
          <w:szCs w:val="18"/>
          <w:lang w:eastAsia="pt-BR"/>
        </w:rPr>
      </w:pPr>
      <w:r w:rsidRPr="00E16E4D">
        <w:rPr>
          <w:rFonts w:ascii="Bookman Old Style" w:eastAsia="Times New Roman" w:hAnsi="Bookman Old Style" w:cs="Times New Roman"/>
          <w:sz w:val="18"/>
          <w:szCs w:val="18"/>
          <w:lang w:eastAsia="pt-BR"/>
        </w:rPr>
        <w:t>5.15. Atender prontamente a quaisquer exigências da Administração, inerentes ao objeto da presente licitação.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 xml:space="preserve">CLÁUSULA SEXTA - DAS OBRIGAÇÕES DA CONTRATADA RELATIVAS A CRITÉRIOS DE SUSTENTABILIDADE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6.1.</w:t>
      </w:r>
      <w:r w:rsidRPr="00E16E4D">
        <w:rPr>
          <w:rFonts w:ascii="Bookman Old Style" w:eastAsia="Times New Roman" w:hAnsi="Bookman Old Style" w:cs="Bookman Old Style"/>
          <w:sz w:val="18"/>
          <w:szCs w:val="18"/>
          <w:lang w:eastAsia="pt-BR"/>
        </w:rPr>
        <w:tab/>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6.2.</w:t>
      </w:r>
      <w:r w:rsidRPr="00E16E4D">
        <w:rPr>
          <w:rFonts w:ascii="Bookman Old Style" w:eastAsia="Times New Roman" w:hAnsi="Bookman Old Style" w:cs="Bookman Old Style"/>
          <w:sz w:val="18"/>
          <w:szCs w:val="18"/>
          <w:lang w:eastAsia="pt-BR"/>
        </w:rPr>
        <w:tab/>
        <w:t xml:space="preserve">Colaborar com as medidas de redução de consumo e uso racional da água, </w:t>
      </w:r>
      <w:proofErr w:type="gramStart"/>
      <w:r w:rsidRPr="00E16E4D">
        <w:rPr>
          <w:rFonts w:ascii="Bookman Old Style" w:eastAsia="Times New Roman" w:hAnsi="Bookman Old Style" w:cs="Bookman Old Style"/>
          <w:sz w:val="18"/>
          <w:szCs w:val="18"/>
          <w:lang w:eastAsia="pt-BR"/>
        </w:rPr>
        <w:t>cujo(</w:t>
      </w:r>
      <w:proofErr w:type="gramEnd"/>
      <w:r w:rsidRPr="00E16E4D">
        <w:rPr>
          <w:rFonts w:ascii="Bookman Old Style" w:eastAsia="Times New Roman" w:hAnsi="Bookman Old Style" w:cs="Bookman Old Style"/>
          <w:sz w:val="18"/>
          <w:szCs w:val="18"/>
          <w:lang w:eastAsia="pt-BR"/>
        </w:rPr>
        <w:t>s) encarregado(s) deve(m) atuar como facilitador(es) das mudanças de comportamento.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6.3.</w:t>
      </w:r>
      <w:r w:rsidRPr="00E16E4D">
        <w:rPr>
          <w:rFonts w:ascii="Bookman Old Style" w:eastAsia="Times New Roman" w:hAnsi="Bookman Old Style" w:cs="Bookman Old Style"/>
          <w:sz w:val="18"/>
          <w:szCs w:val="18"/>
          <w:lang w:eastAsia="pt-BR"/>
        </w:rPr>
        <w:tab/>
        <w:t>Dar preferência à aquisição e uso de equipamentos e complementos que promovam a redução do consumo de água e que apresentem eficiência energética e redução de consumo.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6.4.</w:t>
      </w:r>
      <w:r w:rsidRPr="00E16E4D">
        <w:rPr>
          <w:rFonts w:ascii="Bookman Old Style" w:eastAsia="Times New Roman" w:hAnsi="Bookman Old Style" w:cs="Bookman Old Style"/>
          <w:sz w:val="18"/>
          <w:szCs w:val="18"/>
          <w:lang w:eastAsia="pt-BR"/>
        </w:rPr>
        <w:tab/>
        <w:t>Evitar ao máximo o uso de extensões elétricas.</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6.5.</w:t>
      </w:r>
      <w:r w:rsidRPr="00E16E4D">
        <w:rPr>
          <w:rFonts w:ascii="Bookman Old Style" w:eastAsia="Times New Roman" w:hAnsi="Bookman Old Style" w:cs="Bookman Old Style"/>
          <w:sz w:val="18"/>
          <w:szCs w:val="18"/>
          <w:lang w:eastAsia="pt-BR"/>
        </w:rPr>
        <w:tab/>
        <w:t>Repassar a seus empregados todas as orientações referentes à redução do consumo de energia e água. Dar preferência a descarga e torneira com controle de vazão, evitando o desperdício de água.</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6.6.</w:t>
      </w:r>
      <w:r w:rsidRPr="00E16E4D">
        <w:rPr>
          <w:rFonts w:ascii="Bookman Old Style" w:eastAsia="Times New Roman" w:hAnsi="Bookman Old Style" w:cs="Bookman Old Style"/>
          <w:sz w:val="18"/>
          <w:szCs w:val="18"/>
          <w:lang w:eastAsia="pt-BR"/>
        </w:rPr>
        <w:tab/>
        <w:t xml:space="preserve">Fornecer aos empregados os equipamentos de segurança que se fizerem necessários, para a execução </w:t>
      </w:r>
      <w:r w:rsidRPr="00E16E4D">
        <w:rPr>
          <w:rFonts w:ascii="Bookman Old Style" w:eastAsia="Times New Roman" w:hAnsi="Bookman Old Style" w:cs="Bookman Old Style"/>
          <w:sz w:val="18"/>
          <w:szCs w:val="18"/>
          <w:lang w:eastAsia="pt-BR"/>
        </w:rPr>
        <w:lastRenderedPageBreak/>
        <w:t>dos serviços.</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6.7.</w:t>
      </w:r>
      <w:r w:rsidRPr="00E16E4D">
        <w:rPr>
          <w:rFonts w:ascii="Bookman Old Style" w:eastAsia="Times New Roman" w:hAnsi="Bookman Old Style" w:cs="Bookman Old Style"/>
          <w:sz w:val="18"/>
          <w:szCs w:val="18"/>
          <w:lang w:eastAsia="pt-BR"/>
        </w:rPr>
        <w:tab/>
        <w:t>Proporcionar treinamento periódico aos empregados sobre práticas de sustentabilidade, em especial sobre redução de consumo de energia elétrica, de consumo de água e destinação de resíduos sólidos observando as normas ambientais vigentes.</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6.8.</w:t>
      </w:r>
      <w:r w:rsidRPr="00E16E4D">
        <w:rPr>
          <w:rFonts w:ascii="Bookman Old Style" w:eastAsia="Times New Roman" w:hAnsi="Bookman Old Style" w:cs="Bookman Old Style"/>
          <w:sz w:val="18"/>
          <w:szCs w:val="18"/>
          <w:lang w:eastAsia="pt-BR"/>
        </w:rPr>
        <w:tab/>
        <w:t>Proibir quaisquer atos de preconceito de raça, cor, sexo, orientação sexual ou estado civil na seleção de colaboradores no quadro da empresa.</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6.9.</w:t>
      </w:r>
      <w:r w:rsidRPr="00E16E4D">
        <w:rPr>
          <w:rFonts w:ascii="Bookman Old Style" w:eastAsia="Times New Roman" w:hAnsi="Bookman Old Style" w:cs="Bookman Old Style"/>
          <w:sz w:val="18"/>
          <w:szCs w:val="18"/>
          <w:lang w:eastAsia="pt-BR"/>
        </w:rPr>
        <w:tab/>
        <w:t>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6.10.</w:t>
      </w:r>
      <w:r w:rsidRPr="00E16E4D">
        <w:rPr>
          <w:rFonts w:ascii="Bookman Old Style" w:eastAsia="Times New Roman" w:hAnsi="Bookman Old Style" w:cs="Bookman Old Style"/>
          <w:sz w:val="18"/>
          <w:szCs w:val="18"/>
          <w:lang w:eastAsia="pt-BR"/>
        </w:rPr>
        <w:tab/>
        <w:t>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6.11.</w:t>
      </w:r>
      <w:r w:rsidRPr="00E16E4D">
        <w:rPr>
          <w:rFonts w:ascii="Bookman Old Style" w:eastAsia="Times New Roman" w:hAnsi="Bookman Old Style" w:cs="Bookman Old Style"/>
          <w:sz w:val="18"/>
          <w:szCs w:val="18"/>
          <w:lang w:eastAsia="pt-BR"/>
        </w:rPr>
        <w:tab/>
        <w:t>É proibido incinerar qualquer resíduo gerado;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6.12.</w:t>
      </w:r>
      <w:r w:rsidRPr="00E16E4D">
        <w:rPr>
          <w:rFonts w:ascii="Bookman Old Style" w:eastAsia="Times New Roman" w:hAnsi="Bookman Old Style" w:cs="Bookman Old Style"/>
          <w:sz w:val="18"/>
          <w:szCs w:val="18"/>
          <w:lang w:eastAsia="pt-BR"/>
        </w:rPr>
        <w:tab/>
        <w:t>Não é permitida a emissão de ruídos de alta intensidade;</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6.13.</w:t>
      </w:r>
      <w:r w:rsidRPr="00E16E4D">
        <w:rPr>
          <w:rFonts w:ascii="Bookman Old Style" w:eastAsia="Times New Roman" w:hAnsi="Bookman Old Style" w:cs="Bookman Old Style"/>
          <w:sz w:val="18"/>
          <w:szCs w:val="18"/>
          <w:lang w:eastAsia="pt-BR"/>
        </w:rPr>
        <w:tab/>
        <w:t>A contratada deverá observar no que couber, durante a execução contratual, critérios e práticas de sustentabilidade, como: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6.13.1.</w:t>
      </w:r>
      <w:r w:rsidRPr="00E16E4D">
        <w:rPr>
          <w:rFonts w:ascii="Bookman Old Style" w:eastAsia="Times New Roman" w:hAnsi="Bookman Old Style" w:cs="Bookman Old Style"/>
          <w:sz w:val="18"/>
          <w:szCs w:val="18"/>
          <w:lang w:eastAsia="pt-BR"/>
        </w:rPr>
        <w:tab/>
        <w:t xml:space="preserve">Dar preferência a envio de documentos na forma digital, a fim de reduzir a impressão de documentos;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6.13.2.</w:t>
      </w:r>
      <w:r w:rsidRPr="00E16E4D">
        <w:rPr>
          <w:rFonts w:ascii="Bookman Old Style" w:eastAsia="Times New Roman" w:hAnsi="Bookman Old Style" w:cs="Bookman Old Style"/>
          <w:sz w:val="18"/>
          <w:szCs w:val="18"/>
          <w:lang w:eastAsia="pt-BR"/>
        </w:rPr>
        <w:tab/>
        <w:t>Em caso de necessidade de envio de documentos à contratante, usar preferencialmente a função “duplex” (frente e verso), bem como de papel confeccionado com madeira de origem legal.</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6.13.3.</w:t>
      </w:r>
      <w:r w:rsidRPr="00E16E4D">
        <w:rPr>
          <w:rFonts w:ascii="Bookman Old Style" w:eastAsia="Times New Roman" w:hAnsi="Bookman Old Style" w:cs="Bookman Old Style"/>
          <w:sz w:val="18"/>
          <w:szCs w:val="18"/>
          <w:lang w:eastAsia="pt-BR"/>
        </w:rPr>
        <w:tab/>
        <w:t>Priorizar a aquisição de bens que sejam constituídos por material renovável, reciclado, atóxico ou biodegradável.</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6.13.4.</w:t>
      </w:r>
      <w:r w:rsidRPr="00E16E4D">
        <w:rPr>
          <w:rFonts w:ascii="Bookman Old Style" w:eastAsia="Times New Roman" w:hAnsi="Bookman Old Style" w:cs="Bookman Old Style"/>
          <w:sz w:val="18"/>
          <w:szCs w:val="18"/>
          <w:lang w:eastAsia="pt-BR"/>
        </w:rPr>
        <w:tab/>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6.13.5.</w:t>
      </w:r>
      <w:r w:rsidRPr="00E16E4D">
        <w:rPr>
          <w:rFonts w:ascii="Bookman Old Style" w:eastAsia="Times New Roman" w:hAnsi="Bookman Old Style" w:cs="Bookman Old Style"/>
          <w:sz w:val="18"/>
          <w:szCs w:val="18"/>
          <w:lang w:eastAsia="pt-BR"/>
        </w:rPr>
        <w:tab/>
        <w:t>Capacitar seus empregados, orientando que os resíduos não poderão ser dispostos em aterros de resíduos domiciliares, áreas de “bota fora”, encostas, corpos d´água, lotes vagos e áreas protegidas por Lei, bem como em áreas não licenciadas.</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6.13.6.</w:t>
      </w:r>
      <w:r w:rsidRPr="00E16E4D">
        <w:rPr>
          <w:rFonts w:ascii="Bookman Old Style" w:eastAsia="Times New Roman" w:hAnsi="Bookman Old Style" w:cs="Bookman Old Style"/>
          <w:sz w:val="18"/>
          <w:szCs w:val="18"/>
          <w:lang w:eastAsia="pt-BR"/>
        </w:rPr>
        <w:tab/>
        <w:t>Armazenar, transportar e destinar os resíduos em conformidade com as normas técnicas específicas.</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 xml:space="preserve">CLÁUSULA SÉTIMA – OBRIGAÇÕES DO CONTRATANTE: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7.1.</w:t>
      </w:r>
      <w:r w:rsidRPr="00E16E4D">
        <w:rPr>
          <w:rFonts w:ascii="Bookman Old Style" w:eastAsia="Times New Roman" w:hAnsi="Bookman Old Style" w:cs="Bookman Old Style"/>
          <w:sz w:val="18"/>
          <w:szCs w:val="18"/>
          <w:lang w:eastAsia="pt-BR"/>
        </w:rPr>
        <w:tab/>
        <w:t xml:space="preserve">Deverá verificar minuciosamente, no prazo fixado, a conformidade dos produtos recebidos provisoriamente com as especificações constantes do Edital e da proposta, para fins de aceitação e recebimento definitivo;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7.2.</w:t>
      </w:r>
      <w:r w:rsidRPr="00E16E4D">
        <w:rPr>
          <w:rFonts w:ascii="Bookman Old Style" w:eastAsia="Times New Roman" w:hAnsi="Bookman Old Style" w:cs="Bookman Old Style"/>
          <w:sz w:val="18"/>
          <w:szCs w:val="18"/>
          <w:lang w:eastAsia="pt-BR"/>
        </w:rPr>
        <w:tab/>
        <w:t>Deverá comunicar à Contratada, por escrito, sobre irregularidades verificadas no objeto fornecido, para que seja substituído, reparado ou corrigido;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7.3.</w:t>
      </w:r>
      <w:r w:rsidRPr="00E16E4D">
        <w:rPr>
          <w:rFonts w:ascii="Bookman Old Style" w:eastAsia="Times New Roman" w:hAnsi="Bookman Old Style" w:cs="Bookman Old Style"/>
          <w:sz w:val="18"/>
          <w:szCs w:val="18"/>
          <w:lang w:eastAsia="pt-BR"/>
        </w:rPr>
        <w:tab/>
        <w:t xml:space="preserve">Acompanhar e fiscalizar o cumprimento das obrigações da Contratada, através de comissão/servidor especialmente designado;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7.4.</w:t>
      </w:r>
      <w:r w:rsidRPr="00E16E4D">
        <w:rPr>
          <w:rFonts w:ascii="Bookman Old Style" w:eastAsia="Times New Roman" w:hAnsi="Bookman Old Style" w:cs="Bookman Old Style"/>
          <w:sz w:val="18"/>
          <w:szCs w:val="18"/>
          <w:lang w:eastAsia="pt-BR"/>
        </w:rPr>
        <w:tab/>
        <w:t xml:space="preserve">Efetuar o pagamento à Contratada no valor correspondente ao fornecimento do objeto, no prazo e forma estabelecidos no Edital e seus anexos;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CLÁUSULA OITAVA – DO PAGAMENTO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8.1.</w:t>
      </w:r>
      <w:r w:rsidRPr="00E16E4D">
        <w:rPr>
          <w:rFonts w:ascii="Bookman Old Style" w:eastAsia="Times New Roman" w:hAnsi="Bookman Old Style" w:cs="Bookman Old Style"/>
          <w:sz w:val="18"/>
          <w:szCs w:val="18"/>
          <w:lang w:eastAsia="pt-BR"/>
        </w:rPr>
        <w:tab/>
        <w:t xml:space="preserve">O pagamento será efetuado através de transferência eletrônico para a conta bancária da Contratada </w:t>
      </w:r>
      <w:r w:rsidRPr="00E16E4D">
        <w:rPr>
          <w:rFonts w:ascii="Bookman Old Style" w:eastAsia="Times New Roman" w:hAnsi="Bookman Old Style" w:cs="Bookman Old Style"/>
          <w:sz w:val="18"/>
          <w:szCs w:val="18"/>
          <w:lang w:eastAsia="pt-BR"/>
        </w:rPr>
        <w:lastRenderedPageBreak/>
        <w:t>indicada pela mesma, no prazo máximo de 30 (trinta) dias contados da apresentação da Nota Fiscal, após o recebimento definitivo do objeto.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8.2.</w:t>
      </w:r>
      <w:r w:rsidRPr="00E16E4D">
        <w:rPr>
          <w:rFonts w:ascii="Bookman Old Style" w:eastAsia="Times New Roman" w:hAnsi="Bookman Old Style" w:cs="Bookman Old Style"/>
          <w:sz w:val="18"/>
          <w:szCs w:val="18"/>
          <w:lang w:eastAsia="pt-BR"/>
        </w:rPr>
        <w:tab/>
        <w:t>A vencedora do certame deverá apresentar as certidões (FGTS, TRABALHISTA, CERTIDÃO ESTADUAL, FEDERAL E MUNICIPAL) em validade para o pagamento.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8.3.</w:t>
      </w:r>
      <w:r w:rsidRPr="00E16E4D">
        <w:rPr>
          <w:rFonts w:ascii="Bookman Old Style" w:eastAsia="Times New Roman" w:hAnsi="Bookman Old Style" w:cs="Bookman Old Style"/>
          <w:sz w:val="18"/>
          <w:szCs w:val="18"/>
          <w:lang w:eastAsia="pt-BR"/>
        </w:rPr>
        <w:tab/>
        <w:t>Quaisquer erros ou emissão ocorrido na documentação fiscal será motivo de correção por parte da adjudicatária e haverá em decorrência, suspensão do prazo de pagamento até que o problema seja definitivamente sanado.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8.4.</w:t>
      </w:r>
      <w:r w:rsidRPr="00E16E4D">
        <w:rPr>
          <w:rFonts w:ascii="Bookman Old Style" w:eastAsia="Times New Roman" w:hAnsi="Bookman Old Style" w:cs="Bookman Old Style"/>
          <w:sz w:val="18"/>
          <w:szCs w:val="18"/>
          <w:lang w:eastAsia="pt-BR"/>
        </w:rPr>
        <w:tab/>
        <w:t>O Município poderá parcelar o pagamento, de acordo com a necessidade da administração.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8.5.</w:t>
      </w:r>
      <w:r w:rsidRPr="00E16E4D">
        <w:rPr>
          <w:rFonts w:ascii="Bookman Old Style" w:eastAsia="Times New Roman" w:hAnsi="Bookman Old Style" w:cs="Bookman Old Style"/>
          <w:sz w:val="18"/>
          <w:szCs w:val="18"/>
          <w:lang w:eastAsia="pt-BR"/>
        </w:rPr>
        <w:tab/>
        <w:t>Os pagamentos decorrentes do fornecimento do objeto da presente licitação ocorrerão por conta dos Recursos próprios da Secretaria de Administração, da seguinte dotação orçamentária:</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tbl>
      <w:tblPr>
        <w:tblW w:w="4985" w:type="pct"/>
        <w:tblInd w:w="15" w:type="dxa"/>
        <w:tblLayout w:type="fixed"/>
        <w:tblCellMar>
          <w:top w:w="15" w:type="dxa"/>
          <w:left w:w="15" w:type="dxa"/>
          <w:bottom w:w="15" w:type="dxa"/>
          <w:right w:w="15" w:type="dxa"/>
        </w:tblCellMar>
        <w:tblLook w:val="0000" w:firstRow="0" w:lastRow="0" w:firstColumn="0" w:lastColumn="0" w:noHBand="0" w:noVBand="0"/>
      </w:tblPr>
      <w:tblGrid>
        <w:gridCol w:w="1693"/>
        <w:gridCol w:w="1411"/>
        <w:gridCol w:w="2116"/>
        <w:gridCol w:w="1411"/>
        <w:gridCol w:w="1693"/>
        <w:gridCol w:w="1269"/>
      </w:tblGrid>
      <w:tr w:rsidR="00E16E4D" w:rsidRPr="00E16E4D" w:rsidTr="000F79FA">
        <w:tc>
          <w:tcPr>
            <w:tcW w:w="9639" w:type="dxa"/>
            <w:gridSpan w:val="6"/>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Dotações</w:t>
            </w:r>
          </w:p>
        </w:tc>
      </w:tr>
      <w:tr w:rsidR="00E16E4D" w:rsidRPr="00E16E4D" w:rsidTr="000F79FA">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Natureza da despesa</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Grupo da fonte</w:t>
            </w:r>
          </w:p>
        </w:tc>
      </w:tr>
      <w:tr w:rsidR="00E16E4D" w:rsidRPr="00E16E4D" w:rsidTr="000F79FA">
        <w:tc>
          <w:tcPr>
            <w:tcW w:w="1701"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2022</w:t>
            </w:r>
          </w:p>
        </w:tc>
        <w:tc>
          <w:tcPr>
            <w:tcW w:w="1418"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420</w:t>
            </w:r>
          </w:p>
        </w:tc>
        <w:tc>
          <w:tcPr>
            <w:tcW w:w="2126"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04.011.04.122.0403.2009</w:t>
            </w:r>
          </w:p>
        </w:tc>
        <w:tc>
          <w:tcPr>
            <w:tcW w:w="1418"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0</w:t>
            </w:r>
          </w:p>
        </w:tc>
        <w:tc>
          <w:tcPr>
            <w:tcW w:w="1701"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3.3.90.30.00.00</w:t>
            </w:r>
          </w:p>
        </w:tc>
        <w:tc>
          <w:tcPr>
            <w:tcW w:w="1275"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Do Exercício</w:t>
            </w:r>
          </w:p>
        </w:tc>
      </w:tr>
      <w:tr w:rsidR="00E16E4D" w:rsidRPr="00E16E4D" w:rsidTr="000F79FA">
        <w:tc>
          <w:tcPr>
            <w:tcW w:w="1701"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2022</w:t>
            </w:r>
          </w:p>
        </w:tc>
        <w:tc>
          <w:tcPr>
            <w:tcW w:w="1418"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1190</w:t>
            </w:r>
          </w:p>
        </w:tc>
        <w:tc>
          <w:tcPr>
            <w:tcW w:w="2126"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05.005.26.782.2601.2020</w:t>
            </w:r>
          </w:p>
        </w:tc>
        <w:tc>
          <w:tcPr>
            <w:tcW w:w="1418"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0</w:t>
            </w:r>
          </w:p>
        </w:tc>
        <w:tc>
          <w:tcPr>
            <w:tcW w:w="1701"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3.3.90.30.00.00</w:t>
            </w:r>
          </w:p>
        </w:tc>
        <w:tc>
          <w:tcPr>
            <w:tcW w:w="1275"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Do Exercício</w:t>
            </w:r>
          </w:p>
        </w:tc>
      </w:tr>
      <w:tr w:rsidR="00E16E4D" w:rsidRPr="00E16E4D" w:rsidTr="000F79FA">
        <w:tc>
          <w:tcPr>
            <w:tcW w:w="1701"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2022</w:t>
            </w:r>
          </w:p>
        </w:tc>
        <w:tc>
          <w:tcPr>
            <w:tcW w:w="1418"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1890</w:t>
            </w:r>
          </w:p>
        </w:tc>
        <w:tc>
          <w:tcPr>
            <w:tcW w:w="2126"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06.007.12.361.1201.2023</w:t>
            </w:r>
          </w:p>
        </w:tc>
        <w:tc>
          <w:tcPr>
            <w:tcW w:w="1418"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103</w:t>
            </w:r>
          </w:p>
        </w:tc>
        <w:tc>
          <w:tcPr>
            <w:tcW w:w="1701"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3.3.90.30.00.00</w:t>
            </w:r>
          </w:p>
        </w:tc>
        <w:tc>
          <w:tcPr>
            <w:tcW w:w="1275"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Do Exercício</w:t>
            </w:r>
          </w:p>
        </w:tc>
      </w:tr>
      <w:tr w:rsidR="00E16E4D" w:rsidRPr="00E16E4D" w:rsidTr="000F79FA">
        <w:tc>
          <w:tcPr>
            <w:tcW w:w="1701"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2022</w:t>
            </w:r>
          </w:p>
        </w:tc>
        <w:tc>
          <w:tcPr>
            <w:tcW w:w="1418"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2410</w:t>
            </w:r>
          </w:p>
        </w:tc>
        <w:tc>
          <w:tcPr>
            <w:tcW w:w="2126"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08.001.10.301.1001.2040</w:t>
            </w:r>
          </w:p>
        </w:tc>
        <w:tc>
          <w:tcPr>
            <w:tcW w:w="1418"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303</w:t>
            </w:r>
          </w:p>
        </w:tc>
        <w:tc>
          <w:tcPr>
            <w:tcW w:w="1701"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3.3.90.30.00.00</w:t>
            </w:r>
          </w:p>
        </w:tc>
        <w:tc>
          <w:tcPr>
            <w:tcW w:w="1275"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Do Exercício</w:t>
            </w:r>
          </w:p>
        </w:tc>
      </w:tr>
      <w:tr w:rsidR="00E16E4D" w:rsidRPr="00E16E4D" w:rsidTr="000F79FA">
        <w:tc>
          <w:tcPr>
            <w:tcW w:w="1701"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2022</w:t>
            </w:r>
          </w:p>
        </w:tc>
        <w:tc>
          <w:tcPr>
            <w:tcW w:w="1418"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2790</w:t>
            </w:r>
          </w:p>
        </w:tc>
        <w:tc>
          <w:tcPr>
            <w:tcW w:w="2126"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09.001.08.244.0801.2046</w:t>
            </w:r>
          </w:p>
        </w:tc>
        <w:tc>
          <w:tcPr>
            <w:tcW w:w="1418"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0</w:t>
            </w:r>
          </w:p>
        </w:tc>
        <w:tc>
          <w:tcPr>
            <w:tcW w:w="1701"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3.3.90.30.00.00</w:t>
            </w:r>
          </w:p>
        </w:tc>
        <w:tc>
          <w:tcPr>
            <w:tcW w:w="1275" w:type="dxa"/>
            <w:tcBorders>
              <w:top w:val="single" w:sz="6" w:space="0" w:color="000000"/>
              <w:left w:val="single" w:sz="6" w:space="0" w:color="000000"/>
              <w:bottom w:val="single" w:sz="6" w:space="0" w:color="000000"/>
              <w:right w:val="single" w:sz="6" w:space="0" w:color="000000"/>
            </w:tcBorders>
          </w:tcPr>
          <w:p w:rsidR="00E16E4D" w:rsidRPr="00E16E4D" w:rsidRDefault="00E16E4D" w:rsidP="00E16E4D">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E16E4D">
              <w:rPr>
                <w:rFonts w:ascii="Bookman Old Style" w:eastAsia="Times New Roman" w:hAnsi="Bookman Old Style" w:cs="Arial"/>
                <w:sz w:val="16"/>
                <w:szCs w:val="16"/>
                <w:lang w:val="x-none" w:eastAsia="pt-BR"/>
              </w:rPr>
              <w:t>Do Exercício</w:t>
            </w:r>
          </w:p>
        </w:tc>
      </w:tr>
    </w:tbl>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6"/>
          <w:szCs w:val="16"/>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8.6.</w:t>
      </w:r>
      <w:r w:rsidRPr="00E16E4D">
        <w:rPr>
          <w:rFonts w:ascii="Bookman Old Style" w:eastAsia="Times New Roman" w:hAnsi="Bookman Old Style" w:cs="Bookman Old Style"/>
          <w:sz w:val="18"/>
          <w:szCs w:val="18"/>
          <w:lang w:eastAsia="pt-BR"/>
        </w:rPr>
        <w:tab/>
        <w:t xml:space="preserve">Durante a vigência do Registro de Preços, os valores registrados não serão reajustados.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8.7.</w:t>
      </w:r>
      <w:r w:rsidRPr="00E16E4D">
        <w:rPr>
          <w:rFonts w:ascii="Bookman Old Style" w:eastAsia="Times New Roman" w:hAnsi="Bookman Old Style" w:cs="Bookman Old Style"/>
          <w:sz w:val="18"/>
          <w:szCs w:val="18"/>
          <w:lang w:eastAsia="pt-BR"/>
        </w:rPr>
        <w:tab/>
        <w:t xml:space="preserve">Somente poderá ocorrer a recomposição de valores nos casos enquadrados no disposto no Artigo 65, II, “d” da Lei 8.666/93.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8.8.</w:t>
      </w:r>
      <w:r w:rsidRPr="00E16E4D">
        <w:rPr>
          <w:rFonts w:ascii="Bookman Old Style" w:eastAsia="Times New Roman" w:hAnsi="Bookman Old Style" w:cs="Bookman Old Style"/>
          <w:sz w:val="18"/>
          <w:szCs w:val="18"/>
          <w:lang w:eastAsia="pt-BR"/>
        </w:rPr>
        <w:tab/>
        <w:t>Não serão liberadas recomposições decorrentes de inflação, que não configurem álea econômica extraordinária, tampouco fato previsível.</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8.9.</w:t>
      </w:r>
      <w:r w:rsidRPr="00E16E4D">
        <w:rPr>
          <w:rFonts w:ascii="Bookman Old Style" w:eastAsia="Times New Roman" w:hAnsi="Bookman Old Style" w:cs="Bookman Old Style"/>
          <w:sz w:val="18"/>
          <w:szCs w:val="18"/>
          <w:lang w:eastAsia="pt-BR"/>
        </w:rPr>
        <w:tab/>
        <w:t xml:space="preserve">Os pedidos de recomposição de valores deverão ser protocolados junto ao Setor de Protocolo da Prefeitura Municipal.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8.10.</w:t>
      </w:r>
      <w:r w:rsidRPr="00E16E4D">
        <w:rPr>
          <w:rFonts w:ascii="Bookman Old Style" w:eastAsia="Times New Roman" w:hAnsi="Bookman Old Style" w:cs="Bookman Old Style"/>
          <w:sz w:val="18"/>
          <w:szCs w:val="18"/>
          <w:lang w:eastAsia="pt-BR"/>
        </w:rPr>
        <w:tab/>
        <w:t xml:space="preserve">Somente serão analisados os pedidos de recomposição de valores que contenham todos os documentos comprobatórios para a referida recomposição, conforme disposto no Artigo 65, II, “d” da Lei 8.666/93.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8.11.</w:t>
      </w:r>
      <w:r w:rsidRPr="00E16E4D">
        <w:rPr>
          <w:rFonts w:ascii="Bookman Old Style" w:eastAsia="Times New Roman" w:hAnsi="Bookman Old Style" w:cs="Bookman Old Style"/>
          <w:sz w:val="18"/>
          <w:szCs w:val="18"/>
          <w:lang w:eastAsia="pt-BR"/>
        </w:rPr>
        <w:tab/>
        <w:t xml:space="preserve">Os valores recompostos somente serão repassados após a assinatura, devolução do Termo assinado (conforme o caso) e publicação do Termo de Aditamento.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CLÁUSULA NONA - DA FISCALIZAÇÃO DA ATA DE REGISTRO DE PREÇOS</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9.1.</w:t>
      </w:r>
      <w:r w:rsidRPr="00E16E4D">
        <w:rPr>
          <w:rFonts w:ascii="Bookman Old Style" w:eastAsia="Times New Roman" w:hAnsi="Bookman Old Style" w:cs="Bookman Old Style"/>
          <w:sz w:val="18"/>
          <w:szCs w:val="18"/>
          <w:lang w:eastAsia="pt-BR"/>
        </w:rPr>
        <w:tab/>
        <w:t xml:space="preserve">Caberá </w:t>
      </w:r>
      <w:proofErr w:type="gramStart"/>
      <w:r w:rsidRPr="00E16E4D">
        <w:rPr>
          <w:rFonts w:ascii="Bookman Old Style" w:eastAsia="Times New Roman" w:hAnsi="Bookman Old Style" w:cs="Bookman Old Style"/>
          <w:sz w:val="18"/>
          <w:szCs w:val="18"/>
          <w:lang w:eastAsia="pt-BR"/>
        </w:rPr>
        <w:t>ao(</w:t>
      </w:r>
      <w:proofErr w:type="gramEnd"/>
      <w:r w:rsidRPr="00E16E4D">
        <w:rPr>
          <w:rFonts w:ascii="Bookman Old Style" w:eastAsia="Times New Roman" w:hAnsi="Bookman Old Style" w:cs="Bookman Old Style"/>
          <w:sz w:val="18"/>
          <w:szCs w:val="18"/>
          <w:lang w:eastAsia="pt-BR"/>
        </w:rPr>
        <w:t xml:space="preserve">a) </w:t>
      </w:r>
      <w:proofErr w:type="spellStart"/>
      <w:r w:rsidRPr="00E16E4D">
        <w:rPr>
          <w:rFonts w:ascii="Bookman Old Style" w:eastAsia="Times New Roman" w:hAnsi="Bookman Old Style" w:cs="Bookman Old Style"/>
          <w:sz w:val="18"/>
          <w:szCs w:val="18"/>
          <w:lang w:eastAsia="pt-BR"/>
        </w:rPr>
        <w:t>Sr</w:t>
      </w:r>
      <w:proofErr w:type="spellEnd"/>
      <w:r w:rsidRPr="00E16E4D">
        <w:rPr>
          <w:rFonts w:ascii="Bookman Old Style" w:eastAsia="Times New Roman" w:hAnsi="Bookman Old Style" w:cs="Bookman Old Style"/>
          <w:sz w:val="18"/>
          <w:szCs w:val="18"/>
          <w:lang w:eastAsia="pt-BR"/>
        </w:rPr>
        <w:t xml:space="preserve">(a) </w:t>
      </w:r>
      <w:r w:rsidR="00F95AFA" w:rsidRPr="00F95AFA">
        <w:rPr>
          <w:rFonts w:ascii="Bookman Old Style" w:eastAsia="Times New Roman" w:hAnsi="Bookman Old Style" w:cs="Bookman Old Style"/>
          <w:sz w:val="18"/>
          <w:szCs w:val="18"/>
          <w:lang w:eastAsia="pt-BR"/>
        </w:rPr>
        <w:t>WELINGTON ALFREDO PRUNZEL</w:t>
      </w:r>
      <w:r w:rsidRPr="00E16E4D">
        <w:rPr>
          <w:rFonts w:ascii="Bookman Old Style" w:eastAsia="Times New Roman" w:hAnsi="Bookman Old Style" w:cs="Bookman Old Style"/>
          <w:sz w:val="18"/>
          <w:szCs w:val="18"/>
          <w:lang w:eastAsia="pt-BR"/>
        </w:rPr>
        <w:t xml:space="preserve"> portador(a) do R.G. nº .</w:t>
      </w:r>
      <w:r w:rsidR="00F95AFA" w:rsidRPr="00F95AFA">
        <w:rPr>
          <w:rFonts w:ascii="Bookman Old Style" w:eastAsia="Times New Roman" w:hAnsi="Bookman Old Style" w:cs="Bookman Old Style"/>
          <w:sz w:val="18"/>
          <w:szCs w:val="18"/>
          <w:lang w:eastAsia="pt-BR"/>
        </w:rPr>
        <w:t>7.010.968-9</w:t>
      </w:r>
      <w:r w:rsidRPr="00E16E4D">
        <w:rPr>
          <w:rFonts w:ascii="Bookman Old Style" w:eastAsia="Times New Roman" w:hAnsi="Bookman Old Style" w:cs="Bookman Old Style"/>
          <w:sz w:val="18"/>
          <w:szCs w:val="18"/>
          <w:lang w:eastAsia="pt-BR"/>
        </w:rPr>
        <w:t xml:space="preserve"> e inscrito(a) no CPF/MF sob o nº </w:t>
      </w:r>
      <w:r w:rsidR="00F95AFA" w:rsidRPr="00F95AFA">
        <w:rPr>
          <w:rFonts w:ascii="Bookman Old Style" w:eastAsia="Times New Roman" w:hAnsi="Bookman Old Style" w:cs="Bookman Old Style"/>
          <w:sz w:val="18"/>
          <w:szCs w:val="18"/>
          <w:lang w:eastAsia="pt-BR"/>
        </w:rPr>
        <w:t xml:space="preserve">003.576.659-02 </w:t>
      </w:r>
      <w:r w:rsidRPr="00E16E4D">
        <w:rPr>
          <w:rFonts w:ascii="Bookman Old Style" w:eastAsia="Times New Roman" w:hAnsi="Bookman Old Style" w:cs="Bookman Old Style"/>
          <w:sz w:val="18"/>
          <w:szCs w:val="18"/>
          <w:lang w:eastAsia="pt-BR"/>
        </w:rPr>
        <w:t xml:space="preserve"> representante da CONTRATADA, a responsabilizar-se por: (nome indicado na Declaração Unificada ANEXO III)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9.1.1.</w:t>
      </w:r>
      <w:r w:rsidRPr="00E16E4D">
        <w:rPr>
          <w:rFonts w:ascii="Bookman Old Style" w:eastAsia="Times New Roman" w:hAnsi="Bookman Old Style" w:cs="Bookman Old Style"/>
          <w:sz w:val="18"/>
          <w:szCs w:val="18"/>
          <w:lang w:eastAsia="pt-BR"/>
        </w:rPr>
        <w:tab/>
        <w:t xml:space="preserve">Garantir o cumprimento das atividades, de acordo com as diretrizes estabelecidas para sua realização.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9.1.2.</w:t>
      </w:r>
      <w:r w:rsidRPr="00E16E4D">
        <w:rPr>
          <w:rFonts w:ascii="Bookman Old Style" w:eastAsia="Times New Roman" w:hAnsi="Bookman Old Style" w:cs="Bookman Old Style"/>
          <w:sz w:val="18"/>
          <w:szCs w:val="18"/>
          <w:lang w:eastAsia="pt-BR"/>
        </w:rPr>
        <w:tab/>
        <w:t xml:space="preserve">Reportar-se ao fiscal de contrato quando necessário, adotando as providências pertinentes para a correção das falhas detectadas.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9.2.</w:t>
      </w:r>
      <w:r w:rsidRPr="00E16E4D">
        <w:rPr>
          <w:rFonts w:ascii="Bookman Old Style" w:eastAsia="Times New Roman" w:hAnsi="Bookman Old Style" w:cs="Bookman Old Style"/>
          <w:sz w:val="18"/>
          <w:szCs w:val="18"/>
          <w:lang w:eastAsia="pt-BR"/>
        </w:rPr>
        <w:tab/>
        <w:t xml:space="preserve">A fiscalização e o acompanhamento da entrega dos produtos da Ata, </w:t>
      </w:r>
      <w:proofErr w:type="gramStart"/>
      <w:r w:rsidRPr="00E16E4D">
        <w:rPr>
          <w:rFonts w:ascii="Bookman Old Style" w:eastAsia="Times New Roman" w:hAnsi="Bookman Old Style" w:cs="Bookman Old Style"/>
          <w:sz w:val="18"/>
          <w:szCs w:val="18"/>
          <w:lang w:eastAsia="pt-BR"/>
        </w:rPr>
        <w:t>será</w:t>
      </w:r>
      <w:proofErr w:type="gramEnd"/>
      <w:r w:rsidRPr="00E16E4D">
        <w:rPr>
          <w:rFonts w:ascii="Bookman Old Style" w:eastAsia="Times New Roman" w:hAnsi="Bookman Old Style" w:cs="Bookman Old Style"/>
          <w:sz w:val="18"/>
          <w:szCs w:val="18"/>
          <w:lang w:eastAsia="pt-BR"/>
        </w:rPr>
        <w:t xml:space="preserve"> efetuada pelos servidores </w:t>
      </w:r>
      <w:r w:rsidR="00F95AFA" w:rsidRPr="00F95AFA">
        <w:rPr>
          <w:rFonts w:ascii="Bookman Old Style" w:eastAsia="Times New Roman" w:hAnsi="Bookman Old Style" w:cs="Bookman Old Style"/>
          <w:sz w:val="18"/>
          <w:szCs w:val="18"/>
          <w:lang w:eastAsia="pt-BR"/>
        </w:rPr>
        <w:t>ALEX GOTARDI</w:t>
      </w:r>
      <w:r w:rsidRPr="00E16E4D">
        <w:rPr>
          <w:rFonts w:ascii="Bookman Old Style" w:eastAsia="Times New Roman" w:hAnsi="Bookman Old Style" w:cs="Bookman Old Style"/>
          <w:sz w:val="18"/>
          <w:szCs w:val="18"/>
          <w:lang w:eastAsia="pt-BR"/>
        </w:rPr>
        <w:t xml:space="preserve"> a fim de verificar a conformidade dele com as especificações técnicas dispostas no mesmo, junto ao representante da CONTRATADA, assim como solicitar a correção de eventuais irregularidades que forem verificadas, as quais, se não sanadas no prazo estabelecido, serão objeto de comunicação oficial à CONTRATADA, para aplicação das penalidades cabíveis.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CLÁUSULA DÉCIMA – DO ACOMPANHAMENTO DOS PREÇOS</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lastRenderedPageBreak/>
        <w:t>10.1.</w:t>
      </w:r>
      <w:r w:rsidRPr="00E16E4D">
        <w:rPr>
          <w:rFonts w:ascii="Bookman Old Style" w:eastAsia="Times New Roman" w:hAnsi="Bookman Old Style" w:cs="Bookman Old Style"/>
          <w:sz w:val="18"/>
          <w:szCs w:val="18"/>
          <w:lang w:eastAsia="pt-BR"/>
        </w:rPr>
        <w:tab/>
        <w:t xml:space="preserve">Os preços registrados na presente ata poderão ser alterados em decorrência de eventual redução daqueles praticados no mercado, ou de fato que eleve o custo dos bens correspondentes.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10.2.</w:t>
      </w:r>
      <w:r w:rsidRPr="00E16E4D">
        <w:rPr>
          <w:rFonts w:ascii="Bookman Old Style" w:eastAsia="Times New Roman" w:hAnsi="Bookman Old Style" w:cs="Bookman Old Style"/>
          <w:sz w:val="18"/>
          <w:szCs w:val="18"/>
          <w:lang w:eastAsia="pt-BR"/>
        </w:rPr>
        <w:tab/>
        <w:t>Na hipótese do preço inicialmente registrado, por motivo superveniente, tornar-se superior ao preço praticado no mercado, o fornecedor será convocado para que promova a redução dos preços.</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10.3.</w:t>
      </w:r>
      <w:r w:rsidRPr="00E16E4D">
        <w:rPr>
          <w:rFonts w:ascii="Bookman Old Style" w:eastAsia="Times New Roman" w:hAnsi="Bookman Old Style" w:cs="Bookman Old Style"/>
          <w:sz w:val="18"/>
          <w:szCs w:val="18"/>
          <w:lang w:eastAsia="pt-BR"/>
        </w:rPr>
        <w:tab/>
        <w:t xml:space="preserve"> Em não sendo reduzido o preço, o fornecedor será liberado do compromisso assumido, sem aplicação de penalidades administrativas, podendo o Município de Santo Antonio do Sudoeste convocar os demais fornecedores classificados para, nas mesmas condições, oferecer igual oportunidade de negociação, ou revogar a ata de registro de preços ou parte dela.</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10.4.</w:t>
      </w:r>
      <w:r w:rsidRPr="00E16E4D">
        <w:rPr>
          <w:rFonts w:ascii="Bookman Old Style" w:eastAsia="Times New Roman" w:hAnsi="Bookman Old Style" w:cs="Bookman Old Style"/>
          <w:sz w:val="18"/>
          <w:szCs w:val="18"/>
          <w:lang w:eastAsia="pt-BR"/>
        </w:rPr>
        <w:tab/>
        <w:t xml:space="preserve"> Na hipótese </w:t>
      </w:r>
      <w:proofErr w:type="gramStart"/>
      <w:r w:rsidRPr="00E16E4D">
        <w:rPr>
          <w:rFonts w:ascii="Bookman Old Style" w:eastAsia="Times New Roman" w:hAnsi="Bookman Old Style" w:cs="Bookman Old Style"/>
          <w:sz w:val="18"/>
          <w:szCs w:val="18"/>
          <w:lang w:eastAsia="pt-BR"/>
        </w:rPr>
        <w:t>do</w:t>
      </w:r>
      <w:proofErr w:type="gramEnd"/>
      <w:r w:rsidRPr="00E16E4D">
        <w:rPr>
          <w:rFonts w:ascii="Bookman Old Style" w:eastAsia="Times New Roman" w:hAnsi="Bookman Old Style" w:cs="Bookman Old Style"/>
          <w:sz w:val="18"/>
          <w:szCs w:val="18"/>
          <w:lang w:eastAsia="pt-BR"/>
        </w:rPr>
        <w:t xml:space="preserve"> preço de mercado tornar-se superior ao registrado, e o fornecedor não puder cumprir as obrigações assumidas, este poderá solicitar revisão dos preços, mediante requerimento fundamentado, a ser protocolado antes do pedido de fornecimento, mediante demonstração de fato superveniente que tenha provocado elevação relevante nos preços praticados no mercado.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10.5.</w:t>
      </w:r>
      <w:r w:rsidRPr="00E16E4D">
        <w:rPr>
          <w:rFonts w:ascii="Bookman Old Style" w:eastAsia="Times New Roman" w:hAnsi="Bookman Old Style" w:cs="Bookman Old Style"/>
          <w:sz w:val="18"/>
          <w:szCs w:val="18"/>
          <w:lang w:eastAsia="pt-BR"/>
        </w:rPr>
        <w:tab/>
        <w:t xml:space="preserve">Procedente o pedido, o Município poderá efetuar a revisão do preço registrado no valor pleiteado pelo fornecedor, caso este esteja de acordo com os valores praticados pelo mercado, ou apresentar contraproposta de preço, compatível com o vigente no mercado, para a garantia do equilíbrio econômico-financeiro.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10.6.</w:t>
      </w:r>
      <w:r w:rsidRPr="00E16E4D">
        <w:rPr>
          <w:rFonts w:ascii="Bookman Old Style" w:eastAsia="Times New Roman" w:hAnsi="Bookman Old Style" w:cs="Bookman Old Style"/>
          <w:sz w:val="18"/>
          <w:szCs w:val="18"/>
          <w:lang w:eastAsia="pt-BR"/>
        </w:rPr>
        <w:tab/>
        <w:t>Caso não aceite a contraproposta de preço apresentada pelo Município, o fornecedor será liberado do compromisso assumido, sem aplicação de penalidades administrativas.</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10.7.</w:t>
      </w:r>
      <w:r w:rsidRPr="00E16E4D">
        <w:rPr>
          <w:rFonts w:ascii="Bookman Old Style" w:eastAsia="Times New Roman" w:hAnsi="Bookman Old Style" w:cs="Bookman Old Style"/>
          <w:sz w:val="18"/>
          <w:szCs w:val="18"/>
          <w:lang w:eastAsia="pt-BR"/>
        </w:rPr>
        <w:tab/>
        <w:t>Não sendo acatado o pedido de revisão, este será indeferido pelo Município e o fornecedor continuará obrigado a cumprir os compromissos pelo valor registrado na Ata de Registro de Preços, sob pena de cancelamento do registro do preço do fornecedor e de aplicação das penalidades administrativas previstas em lei e no edital.</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10.8.</w:t>
      </w:r>
      <w:r w:rsidRPr="00E16E4D">
        <w:rPr>
          <w:rFonts w:ascii="Bookman Old Style" w:eastAsia="Times New Roman" w:hAnsi="Bookman Old Style" w:cs="Bookman Old Style"/>
          <w:sz w:val="18"/>
          <w:szCs w:val="18"/>
          <w:lang w:eastAsia="pt-BR"/>
        </w:rPr>
        <w:tab/>
        <w:t xml:space="preserve"> Na hipótese do cancelamento do registro do preço do fornecedor, prevista no subitem anterior, o Município poderá convocar os demais fornecedores subsequentes de acordo com a classificação final.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CLÁUSULA DÉCIMA PRIMEIRA – DO CANCELAMENTO DA ATA</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11.1.</w:t>
      </w:r>
      <w:r w:rsidRPr="00E16E4D">
        <w:rPr>
          <w:rFonts w:ascii="Bookman Old Style" w:eastAsia="Times New Roman" w:hAnsi="Bookman Old Style" w:cs="Bookman Old Style"/>
          <w:sz w:val="18"/>
          <w:szCs w:val="18"/>
          <w:lang w:eastAsia="pt-BR"/>
        </w:rPr>
        <w:tab/>
        <w:t>A Ata poderá ser cancelada de pleno direito total ou parcialmente, independentemente de notificação judicial ou extrajudicial, sem que A CONTRATADA assista o direito a qualquer indenização, se esta:</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11.1.1.</w:t>
      </w:r>
      <w:r w:rsidRPr="00E16E4D">
        <w:rPr>
          <w:rFonts w:ascii="Bookman Old Style" w:eastAsia="Times New Roman" w:hAnsi="Bookman Old Style" w:cs="Bookman Old Style"/>
          <w:sz w:val="18"/>
          <w:szCs w:val="18"/>
          <w:lang w:eastAsia="pt-BR"/>
        </w:rPr>
        <w:tab/>
        <w:t>Falir, entrar em concordata ou ocorrer dissolução da sociedade.</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11.1.2.</w:t>
      </w:r>
      <w:r w:rsidRPr="00E16E4D">
        <w:rPr>
          <w:rFonts w:ascii="Bookman Old Style" w:eastAsia="Times New Roman" w:hAnsi="Bookman Old Style" w:cs="Bookman Old Style"/>
          <w:sz w:val="18"/>
          <w:szCs w:val="18"/>
          <w:lang w:eastAsia="pt-BR"/>
        </w:rPr>
        <w:tab/>
        <w:t xml:space="preserve">Sem justa causa, e prévia comunicação à Prefeitura, suspender a execução dos serviços.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11.1.3.</w:t>
      </w:r>
      <w:r w:rsidRPr="00E16E4D">
        <w:rPr>
          <w:rFonts w:ascii="Bookman Old Style" w:eastAsia="Times New Roman" w:hAnsi="Bookman Old Style" w:cs="Bookman Old Style"/>
          <w:sz w:val="18"/>
          <w:szCs w:val="18"/>
          <w:lang w:eastAsia="pt-BR"/>
        </w:rPr>
        <w:tab/>
        <w:t xml:space="preserve">Infringir qualquer cláusula desta Ata e/ou da Lei Federal nº 8.666/93.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11.1.4.</w:t>
      </w:r>
      <w:r w:rsidRPr="00E16E4D">
        <w:rPr>
          <w:rFonts w:ascii="Bookman Old Style" w:eastAsia="Times New Roman" w:hAnsi="Bookman Old Style" w:cs="Bookman Old Style"/>
          <w:sz w:val="18"/>
          <w:szCs w:val="18"/>
          <w:lang w:eastAsia="pt-BR"/>
        </w:rPr>
        <w:tab/>
        <w:t xml:space="preserve">Não cumprir ou cumprir irregularmente as cláusulas desta Ata, especificações ou prazos.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11.1.5.</w:t>
      </w:r>
      <w:r w:rsidRPr="00E16E4D">
        <w:rPr>
          <w:rFonts w:ascii="Bookman Old Style" w:eastAsia="Times New Roman" w:hAnsi="Bookman Old Style" w:cs="Bookman Old Style"/>
          <w:sz w:val="18"/>
          <w:szCs w:val="18"/>
          <w:lang w:eastAsia="pt-BR"/>
        </w:rPr>
        <w:tab/>
        <w:t>Recusar a redução do preço ao nível dos praticados no mercado.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 xml:space="preserve">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11.2.</w:t>
      </w:r>
      <w:r w:rsidRPr="00E16E4D">
        <w:rPr>
          <w:rFonts w:ascii="Bookman Old Style" w:eastAsia="Times New Roman" w:hAnsi="Bookman Old Style" w:cs="Bookman Old Style"/>
          <w:sz w:val="18"/>
          <w:szCs w:val="18"/>
          <w:lang w:eastAsia="pt-BR"/>
        </w:rPr>
        <w:tab/>
        <w:t xml:space="preserve"> O cancelamento do Registro de Preços poderá ainda ocorrer quando houver:</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11.2.1.</w:t>
      </w:r>
      <w:r w:rsidRPr="00E16E4D">
        <w:rPr>
          <w:rFonts w:ascii="Bookman Old Style" w:eastAsia="Times New Roman" w:hAnsi="Bookman Old Style" w:cs="Bookman Old Style"/>
          <w:sz w:val="18"/>
          <w:szCs w:val="18"/>
          <w:lang w:eastAsia="pt-BR"/>
        </w:rPr>
        <w:tab/>
        <w:t>Alteração social ou modificação da finalidade ou da estrutura da empresa, que prejudique a execução do objeto contratado.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11.2.2.</w:t>
      </w:r>
      <w:r w:rsidRPr="00E16E4D">
        <w:rPr>
          <w:rFonts w:ascii="Bookman Old Style" w:eastAsia="Times New Roman" w:hAnsi="Bookman Old Style" w:cs="Bookman Old Style"/>
          <w:sz w:val="18"/>
          <w:szCs w:val="18"/>
          <w:lang w:eastAsia="pt-BR"/>
        </w:rPr>
        <w:tab/>
        <w:t xml:space="preserve"> Caso fortuito ou força maior, regularmente comprovada, impeditivo da execução do Contrato.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11.2.3.</w:t>
      </w:r>
      <w:r w:rsidRPr="00E16E4D">
        <w:rPr>
          <w:rFonts w:ascii="Bookman Old Style" w:eastAsia="Times New Roman" w:hAnsi="Bookman Old Style" w:cs="Bookman Old Style"/>
          <w:sz w:val="18"/>
          <w:szCs w:val="18"/>
          <w:lang w:eastAsia="pt-BR"/>
        </w:rPr>
        <w:tab/>
        <w:t>Por razões de interesse público devidamente demonstrado e justificado pela Prefeitura.</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11.2.4.</w:t>
      </w:r>
      <w:r w:rsidRPr="00E16E4D">
        <w:rPr>
          <w:rFonts w:ascii="Bookman Old Style" w:eastAsia="Times New Roman" w:hAnsi="Bookman Old Style" w:cs="Bookman Old Style"/>
          <w:sz w:val="18"/>
          <w:szCs w:val="18"/>
          <w:lang w:eastAsia="pt-BR"/>
        </w:rPr>
        <w:tab/>
        <w:t xml:space="preserve"> Pelo atraso superior a 90 (noventa) dias do pagamento devido pela Prefeitura, salvo em caso de calamidade pública, grave perturbação da ordem interna ou guerra, assegurado A CONTRATADA o direito de optar pela suspensão do cumprimento de suas obrigações até que seja normalizada a situação, caso em que sua decisão deverá ser comunicada por escrito à Administração Municipal.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 xml:space="preserve">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11.3.</w:t>
      </w:r>
      <w:r w:rsidRPr="00E16E4D">
        <w:rPr>
          <w:rFonts w:ascii="Bookman Old Style" w:eastAsia="Times New Roman" w:hAnsi="Bookman Old Style" w:cs="Bookman Old Style"/>
          <w:sz w:val="18"/>
          <w:szCs w:val="18"/>
          <w:lang w:eastAsia="pt-BR"/>
        </w:rPr>
        <w:tab/>
        <w:t xml:space="preserve">A solicitação da CONTRATADA, para cancelamento dos preços registrados deverá ser formulada com antecedência mínima de 30 (trinta) dias, facultado à Prefeitura a aplicação das penalidades previstas nesta </w:t>
      </w:r>
      <w:r w:rsidRPr="00E16E4D">
        <w:rPr>
          <w:rFonts w:ascii="Bookman Old Style" w:eastAsia="Times New Roman" w:hAnsi="Bookman Old Style" w:cs="Bookman Old Style"/>
          <w:sz w:val="18"/>
          <w:szCs w:val="18"/>
          <w:lang w:eastAsia="pt-BR"/>
        </w:rPr>
        <w:lastRenderedPageBreak/>
        <w:t>Ata, caso não aceitas as razões do pedido.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11.4.</w:t>
      </w:r>
      <w:r w:rsidRPr="00E16E4D">
        <w:rPr>
          <w:rFonts w:ascii="Bookman Old Style" w:eastAsia="Times New Roman" w:hAnsi="Bookman Old Style" w:cs="Bookman Old Style"/>
          <w:sz w:val="18"/>
          <w:szCs w:val="18"/>
          <w:lang w:eastAsia="pt-BR"/>
        </w:rPr>
        <w:tab/>
        <w:t>A comunicação do cancelamento do preço registrado, nos casos previstos nesta cláusula, será feita pessoalmente ou por correspondência com aviso de recebimento, juntando-se o comprovante ao respectivo processo administrativo.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11.5.</w:t>
      </w:r>
      <w:r w:rsidRPr="00E16E4D">
        <w:rPr>
          <w:rFonts w:ascii="Bookman Old Style" w:eastAsia="Times New Roman" w:hAnsi="Bookman Old Style" w:cs="Bookman Old Style"/>
          <w:sz w:val="18"/>
          <w:szCs w:val="18"/>
          <w:lang w:eastAsia="pt-BR"/>
        </w:rPr>
        <w:tab/>
        <w:t xml:space="preserve"> No caso de ser ignorado, incerto ou inacessível o endereço da Contratada, a comunicação será feita por publicação no Diário Oficial da União e pela Internet, considerando-se, assim, para todos os efeitos, cancelado o preço registrado.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CLÁUSULA DÉCIMA SEGUNDA – DAS PENALIDADES</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12.1.</w:t>
      </w:r>
      <w:r w:rsidRPr="00E16E4D">
        <w:rPr>
          <w:rFonts w:ascii="Bookman Old Style" w:eastAsia="Times New Roman" w:hAnsi="Bookman Old Style" w:cs="Bookman Old Style"/>
          <w:sz w:val="18"/>
          <w:szCs w:val="18"/>
          <w:lang w:eastAsia="pt-BR"/>
        </w:rPr>
        <w:tab/>
        <w:t>A recusa da licitante vencedora em retirar e devolver devidamente assinada a Ata de Registro de Preços importará na aplicação de multa correspondente a 10% (dez por cento) sobre o valor constante da proposta, nos itens que forem objeto de registro. A recusa se configura a partir do 5º (quinto) dia da data da notificação para retirada e devolução devidamente assinada.</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12.2.</w:t>
      </w:r>
      <w:r w:rsidRPr="00E16E4D">
        <w:rPr>
          <w:rFonts w:ascii="Bookman Old Style" w:eastAsia="Times New Roman" w:hAnsi="Bookman Old Style" w:cs="Bookman Old Style"/>
          <w:sz w:val="18"/>
          <w:szCs w:val="18"/>
          <w:lang w:eastAsia="pt-BR"/>
        </w:rPr>
        <w:tab/>
        <w:t xml:space="preserve"> Multa de 10% (dez por cento) do valor do fornecimento e cancelamento da Ata de Registro de Preços, sem prejuízo da devolução dos produtos/materiais, caso este não atenda o disposto no edital, sem prejuízo das demais penalidades previstas em regulamento.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12.3.</w:t>
      </w:r>
      <w:r w:rsidRPr="00E16E4D">
        <w:rPr>
          <w:rFonts w:ascii="Bookman Old Style" w:eastAsia="Times New Roman" w:hAnsi="Bookman Old Style" w:cs="Bookman Old Style"/>
          <w:sz w:val="18"/>
          <w:szCs w:val="18"/>
          <w:lang w:eastAsia="pt-BR"/>
        </w:rPr>
        <w:tab/>
        <w:t>Multa de 0,33% (zero vírgula trinta e três por cento) do valor de cada pedido, a cada 24 horas (vinte e quatro) horas de atraso, até o limite de 10% (dez por cento) de cada fornecimento, podendo a reiteração ou continuidade da recusa ou não entrega do objeto levar ao cancelamento da Ata de Registro de Preços.</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12.4.</w:t>
      </w:r>
      <w:r w:rsidRPr="00E16E4D">
        <w:rPr>
          <w:rFonts w:ascii="Bookman Old Style" w:eastAsia="Times New Roman" w:hAnsi="Bookman Old Style" w:cs="Bookman Old Style"/>
          <w:sz w:val="18"/>
          <w:szCs w:val="18"/>
          <w:lang w:eastAsia="pt-BR"/>
        </w:rPr>
        <w:tab/>
        <w:t xml:space="preserve"> Impedimento de contratar com a Administração Pública Municipal pelo período de até 05 (cinco) anos caso o cancelamento decorra do disposto do subitem anterior ou fraude observada a ampla defesa do contraditório.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12.5.</w:t>
      </w:r>
      <w:r w:rsidRPr="00E16E4D">
        <w:rPr>
          <w:rFonts w:ascii="Bookman Old Style" w:eastAsia="Times New Roman" w:hAnsi="Bookman Old Style" w:cs="Bookman Old Style"/>
          <w:sz w:val="18"/>
          <w:szCs w:val="18"/>
          <w:lang w:eastAsia="pt-BR"/>
        </w:rPr>
        <w:tab/>
        <w:t xml:space="preserve">As sanções são independentes. A aplicação de uma não exclui a das outras.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CLÁUSULA DÉCIMA TERCEIRA – DA FRAUDE E ANTICORRUPÇÃO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13.1.</w:t>
      </w:r>
      <w:r w:rsidRPr="00E16E4D">
        <w:rPr>
          <w:rFonts w:ascii="Bookman Old Style" w:eastAsia="Times New Roman" w:hAnsi="Bookman Old Style" w:cs="Bookman Old Style"/>
          <w:sz w:val="18"/>
          <w:szCs w:val="18"/>
          <w:lang w:eastAsia="pt-BR"/>
        </w:rPr>
        <w:tab/>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CLÁUSULA DÉCIMA QUARTA – DO FORO</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14.1.</w:t>
      </w:r>
      <w:r w:rsidRPr="00E16E4D">
        <w:rPr>
          <w:rFonts w:ascii="Bookman Old Style" w:eastAsia="Times New Roman" w:hAnsi="Bookman Old Style" w:cs="Bookman Old Style"/>
          <w:sz w:val="18"/>
          <w:szCs w:val="18"/>
          <w:lang w:eastAsia="pt-BR"/>
        </w:rPr>
        <w:tab/>
        <w:t xml:space="preserve">Para as questões decorrentes da execução deste instrumento que não possam ser dirimidas administrativamente, fica eleito o foro da Comarca de Santo Antonio do Sudoeste/PR, com referência expressa a qualquer outro por mais privilegiado que seja.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CLÁUSULA DÉCIMA QUINTA – DAS DISPOSIÇÕES FINAIS</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15.1.</w:t>
      </w:r>
      <w:r w:rsidRPr="00E16E4D">
        <w:rPr>
          <w:rFonts w:ascii="Bookman Old Style" w:eastAsia="Times New Roman" w:hAnsi="Bookman Old Style" w:cs="Bookman Old Style"/>
          <w:sz w:val="18"/>
          <w:szCs w:val="18"/>
          <w:lang w:eastAsia="pt-BR"/>
        </w:rPr>
        <w:tab/>
        <w:t>A presente Ata de Registro de Preços será encaminhada através de correio eletrônico, para o endereço de e-mail disponibilizado pelo licitante na fase de habilitação, competindo ao Contratado a impressão e assinatura do instrumento em 02 (duas) vias, providenciando a entrega da via original no Departamento de Licitações da Prefeitura Municipal, em até 05 (cinco) dias após o seu recebimento, ou ainda assinar a via digitalmente se possuir.</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15.2.</w:t>
      </w:r>
      <w:r w:rsidRPr="00E16E4D">
        <w:rPr>
          <w:rFonts w:ascii="Bookman Old Style" w:eastAsia="Times New Roman" w:hAnsi="Bookman Old Style" w:cs="Bookman Old Style"/>
          <w:sz w:val="18"/>
          <w:szCs w:val="18"/>
          <w:lang w:eastAsia="pt-BR"/>
        </w:rPr>
        <w:tab/>
        <w:t xml:space="preserve"> A via do instrumento destinada ao Detentor da Ata de Registro de Preços, devidamente assinada pelo Contratante, será disponibilizada por correio eletrônico, na forma do item antecedente, ou para retirada no Paço Municipal a partir de 05 (cinco) dias após o protocolo da entrega das vias originais prevista no item anterior.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lastRenderedPageBreak/>
        <w:t>15.3.</w:t>
      </w:r>
      <w:r w:rsidRPr="00E16E4D">
        <w:rPr>
          <w:rFonts w:ascii="Bookman Old Style" w:eastAsia="Times New Roman" w:hAnsi="Bookman Old Style" w:cs="Bookman Old Style"/>
          <w:sz w:val="18"/>
          <w:szCs w:val="18"/>
          <w:lang w:eastAsia="pt-BR"/>
        </w:rPr>
        <w:tab/>
        <w:t xml:space="preserve">A execução do contrato, bem como os casos nele omissos, regular-se-ão pelas cláusulas contratuais e pelos preceitos de direito público, </w:t>
      </w:r>
      <w:r w:rsidR="00963D51" w:rsidRPr="00E16E4D">
        <w:rPr>
          <w:rFonts w:ascii="Bookman Old Style" w:eastAsia="Times New Roman" w:hAnsi="Bookman Old Style" w:cs="Bookman Old Style"/>
          <w:sz w:val="18"/>
          <w:szCs w:val="18"/>
          <w:lang w:eastAsia="pt-BR"/>
        </w:rPr>
        <w:t>aplicando sê-lhes</w:t>
      </w:r>
      <w:r w:rsidRPr="00E16E4D">
        <w:rPr>
          <w:rFonts w:ascii="Bookman Old Style" w:eastAsia="Times New Roman" w:hAnsi="Bookman Old Style" w:cs="Bookman Old Style"/>
          <w:sz w:val="18"/>
          <w:szCs w:val="18"/>
          <w:lang w:eastAsia="pt-BR"/>
        </w:rPr>
        <w:t>, supletivamente, os princípios de teoria geral dos contratos e as disposições de direito privado, na forma do artigo 54, da Lei nº 8.666/93, combinado com o inciso XII, do art. 55, do mesmo diploma legal.</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15.4.</w:t>
      </w:r>
      <w:r w:rsidRPr="00E16E4D">
        <w:rPr>
          <w:rFonts w:ascii="Bookman Old Style" w:eastAsia="Times New Roman" w:hAnsi="Bookman Old Style" w:cs="Bookman Old Style"/>
          <w:sz w:val="18"/>
          <w:szCs w:val="18"/>
          <w:lang w:eastAsia="pt-BR"/>
        </w:rPr>
        <w:tab/>
        <w:t xml:space="preserve"> Faz parte integrante desta Ata de Registro de Preços, </w:t>
      </w:r>
      <w:r w:rsidR="00963D51" w:rsidRPr="00E16E4D">
        <w:rPr>
          <w:rFonts w:ascii="Bookman Old Style" w:eastAsia="Times New Roman" w:hAnsi="Bookman Old Style" w:cs="Bookman Old Style"/>
          <w:sz w:val="18"/>
          <w:szCs w:val="18"/>
          <w:lang w:eastAsia="pt-BR"/>
        </w:rPr>
        <w:t>aplicando-se lhe</w:t>
      </w:r>
      <w:r w:rsidRPr="00E16E4D">
        <w:rPr>
          <w:rFonts w:ascii="Bookman Old Style" w:eastAsia="Times New Roman" w:hAnsi="Bookman Old Style" w:cs="Bookman Old Style"/>
          <w:sz w:val="18"/>
          <w:szCs w:val="18"/>
          <w:lang w:eastAsia="pt-BR"/>
        </w:rPr>
        <w:t xml:space="preserve"> todos os seus dispositivos, o edital do Pregão Presencial nº 009/2022 e a proposta da Contratada conforme estabelece a Lei Federal nº 8.666/93 e suas alterações, naquilo que não contrariar as presentes disposições.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15.5.</w:t>
      </w:r>
      <w:r w:rsidRPr="00E16E4D">
        <w:rPr>
          <w:rFonts w:ascii="Bookman Old Style" w:eastAsia="Times New Roman" w:hAnsi="Bookman Old Style" w:cs="Bookman Old Style"/>
          <w:sz w:val="18"/>
          <w:szCs w:val="18"/>
          <w:lang w:eastAsia="pt-BR"/>
        </w:rPr>
        <w:tab/>
        <w:t xml:space="preserve">A Contratada deverá manter, enquanto vigorar o registro de preços e em compatibilidade com as obrigações por ele assumidas, todas as condições de habilitação e qualificação exigidas no Pregão nº 009/2022 </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r w:rsidRPr="00E16E4D">
        <w:rPr>
          <w:rFonts w:ascii="Bookman Old Style" w:eastAsia="Times New Roman" w:hAnsi="Bookman Old Style" w:cs="Bookman Old Style"/>
          <w:sz w:val="18"/>
          <w:szCs w:val="18"/>
          <w:lang w:eastAsia="pt-BR"/>
        </w:rPr>
        <w:t>15.6.</w:t>
      </w:r>
      <w:r w:rsidRPr="00E16E4D">
        <w:rPr>
          <w:rFonts w:ascii="Bookman Old Style" w:eastAsia="Times New Roman" w:hAnsi="Bookman Old Style" w:cs="Bookman Old Style"/>
          <w:sz w:val="18"/>
          <w:szCs w:val="18"/>
          <w:lang w:eastAsia="pt-BR"/>
        </w:rPr>
        <w:tab/>
        <w:t xml:space="preserve">Para constar que foi lavrada a presente Ata de Registro de Preços, que vai assinada pelo Excelentíssimo Senhor </w:t>
      </w:r>
      <w:r w:rsidR="00F95AFA" w:rsidRPr="00F95AFA">
        <w:rPr>
          <w:rFonts w:ascii="Bookman Old Style" w:eastAsia="Times New Roman" w:hAnsi="Bookman Old Style" w:cs="Bookman Old Style"/>
          <w:sz w:val="18"/>
          <w:szCs w:val="18"/>
          <w:lang w:eastAsia="pt-BR"/>
        </w:rPr>
        <w:t>RICARDO ANTONIO ORTINA</w:t>
      </w:r>
      <w:r w:rsidRPr="00E16E4D">
        <w:rPr>
          <w:rFonts w:ascii="Bookman Old Style" w:eastAsia="Times New Roman" w:hAnsi="Bookman Old Style" w:cs="Bookman Old Style"/>
          <w:sz w:val="18"/>
          <w:szCs w:val="18"/>
          <w:lang w:eastAsia="pt-BR"/>
        </w:rPr>
        <w:t xml:space="preserve">, Prefeito Municipal do Município de Santo Antonio do Sudoeste, e pelo Sr. </w:t>
      </w:r>
      <w:r w:rsidR="00F95AFA" w:rsidRPr="00F95AFA">
        <w:rPr>
          <w:rFonts w:ascii="Bookman Old Style" w:eastAsia="Times New Roman" w:hAnsi="Bookman Old Style" w:cs="Bookman Old Style"/>
          <w:sz w:val="18"/>
          <w:szCs w:val="18"/>
          <w:lang w:eastAsia="pt-BR"/>
        </w:rPr>
        <w:t>WELINGTON ALFREDO PRUNZEL,</w:t>
      </w:r>
      <w:r w:rsidRPr="00E16E4D">
        <w:rPr>
          <w:rFonts w:ascii="Bookman Old Style" w:eastAsia="Times New Roman" w:hAnsi="Bookman Old Style" w:cs="Bookman Old Style"/>
          <w:sz w:val="18"/>
          <w:szCs w:val="18"/>
          <w:lang w:eastAsia="pt-BR"/>
        </w:rPr>
        <w:t xml:space="preserve"> qualificado preambularmente, representando a Contratada e testemunhas.</w:t>
      </w:r>
    </w:p>
    <w:p w:rsidR="00E16E4D" w:rsidRPr="00E16E4D" w:rsidRDefault="00E16E4D" w:rsidP="00E16E4D">
      <w:pPr>
        <w:widowControl w:val="0"/>
        <w:autoSpaceDE w:val="0"/>
        <w:autoSpaceDN w:val="0"/>
        <w:adjustRightInd w:val="0"/>
        <w:spacing w:after="0" w:line="240" w:lineRule="auto"/>
        <w:jc w:val="both"/>
        <w:rPr>
          <w:rFonts w:ascii="Bookman Old Style" w:eastAsia="Times New Roman" w:hAnsi="Bookman Old Style" w:cs="Bookman Old Style"/>
          <w:sz w:val="18"/>
          <w:szCs w:val="18"/>
          <w:lang w:eastAsia="pt-BR"/>
        </w:rPr>
      </w:pPr>
    </w:p>
    <w:p w:rsidR="00F95AFA" w:rsidRPr="00F95AFA" w:rsidRDefault="00F95AFA" w:rsidP="00F95AFA">
      <w:pPr>
        <w:pStyle w:val="ParagraphStyle"/>
        <w:widowControl/>
        <w:jc w:val="both"/>
        <w:rPr>
          <w:rFonts w:ascii="Bookman Old Style" w:hAnsi="Bookman Old Style" w:cs="Bookman Old Style"/>
          <w:color w:val="000000"/>
          <w:sz w:val="18"/>
          <w:szCs w:val="18"/>
          <w:lang w:val="pt-BR"/>
        </w:rPr>
      </w:pPr>
      <w:r w:rsidRPr="00F95AFA">
        <w:rPr>
          <w:rFonts w:ascii="Bookman Old Style" w:hAnsi="Bookman Old Style" w:cs="Bookman Old Style"/>
          <w:color w:val="000000"/>
          <w:sz w:val="18"/>
          <w:szCs w:val="18"/>
        </w:rPr>
        <w:t xml:space="preserve">Santo Antonio do Sudoeste, </w:t>
      </w:r>
      <w:r w:rsidRPr="00F95AFA">
        <w:rPr>
          <w:rFonts w:ascii="Bookman Old Style" w:hAnsi="Bookman Old Style" w:cs="Bookman Old Style"/>
          <w:color w:val="000000"/>
          <w:sz w:val="18"/>
          <w:szCs w:val="18"/>
          <w:lang w:val="pt-BR"/>
        </w:rPr>
        <w:t>07</w:t>
      </w:r>
      <w:r w:rsidRPr="00F95AFA">
        <w:rPr>
          <w:rFonts w:ascii="Bookman Old Style" w:hAnsi="Bookman Old Style" w:cs="Bookman Old Style"/>
          <w:color w:val="000000"/>
          <w:sz w:val="18"/>
          <w:szCs w:val="18"/>
        </w:rPr>
        <w:t xml:space="preserve"> de fevereiro de 2022</w:t>
      </w:r>
      <w:r w:rsidRPr="00F95AFA">
        <w:rPr>
          <w:rFonts w:ascii="Bookman Old Style" w:hAnsi="Bookman Old Style" w:cs="Bookman Old Style"/>
          <w:color w:val="000000"/>
          <w:sz w:val="18"/>
          <w:szCs w:val="18"/>
          <w:lang w:val="pt-BR"/>
        </w:rPr>
        <w:t>.</w:t>
      </w:r>
    </w:p>
    <w:p w:rsidR="00F95AFA" w:rsidRPr="00F95AFA" w:rsidRDefault="00F95AFA" w:rsidP="00F95AFA">
      <w:pPr>
        <w:pStyle w:val="ParagraphStyle"/>
        <w:widowControl/>
        <w:jc w:val="both"/>
        <w:rPr>
          <w:rFonts w:ascii="Bookman Old Style" w:hAnsi="Bookman Old Style" w:cs="Bookman Old Style"/>
          <w:color w:val="000000"/>
          <w:sz w:val="18"/>
          <w:szCs w:val="18"/>
          <w:lang w:val="pt-BR"/>
        </w:rPr>
      </w:pPr>
    </w:p>
    <w:p w:rsidR="00F95AFA" w:rsidRPr="00F95AFA" w:rsidRDefault="00F95AFA" w:rsidP="00F95AFA">
      <w:pPr>
        <w:pStyle w:val="ParagraphStyle"/>
        <w:widowControl/>
        <w:jc w:val="center"/>
        <w:rPr>
          <w:rFonts w:ascii="Bookman Old Style" w:hAnsi="Bookman Old Style" w:cs="Bookman Old Style"/>
          <w:b/>
          <w:bCs/>
          <w:color w:val="000000"/>
          <w:sz w:val="18"/>
          <w:szCs w:val="18"/>
        </w:rPr>
      </w:pPr>
    </w:p>
    <w:p w:rsidR="00F95AFA" w:rsidRPr="00D84B56" w:rsidRDefault="00F95AFA" w:rsidP="00F95AFA">
      <w:pPr>
        <w:pStyle w:val="ParagraphStyle"/>
        <w:widowControl/>
        <w:jc w:val="center"/>
        <w:rPr>
          <w:rFonts w:ascii="Bookman Old Style" w:hAnsi="Bookman Old Style" w:cs="Bookman Old Style"/>
          <w:b/>
          <w:bCs/>
          <w:color w:val="000000"/>
          <w:sz w:val="20"/>
          <w:szCs w:val="20"/>
        </w:rPr>
      </w:pPr>
      <w:r w:rsidRPr="00D84B56">
        <w:rPr>
          <w:rFonts w:ascii="Bookman Old Style" w:hAnsi="Bookman Old Style" w:cs="Bookman Old Style"/>
          <w:b/>
          <w:bCs/>
          <w:color w:val="000000"/>
          <w:sz w:val="20"/>
          <w:szCs w:val="20"/>
        </w:rPr>
        <w:tab/>
      </w:r>
    </w:p>
    <w:p w:rsidR="00F95AFA" w:rsidRPr="00D84B56" w:rsidRDefault="00F95AFA" w:rsidP="00F95AFA">
      <w:pPr>
        <w:pStyle w:val="Centered"/>
        <w:rPr>
          <w:rFonts w:ascii="Bookman Old Style" w:hAnsi="Bookman Old Style" w:cs="Bookman Old Style"/>
          <w:b/>
          <w:bCs/>
          <w:color w:val="000000"/>
          <w:sz w:val="20"/>
          <w:szCs w:val="20"/>
        </w:rPr>
      </w:pPr>
      <w:r w:rsidRPr="00D84B56">
        <w:rPr>
          <w:rFonts w:ascii="Bookman Old Style" w:hAnsi="Bookman Old Style" w:cs="Bookman Old Style"/>
          <w:b/>
          <w:bCs/>
          <w:color w:val="000000"/>
          <w:sz w:val="20"/>
          <w:szCs w:val="20"/>
        </w:rPr>
        <w:t>RICARDO ANTONIO ORTINA</w:t>
      </w:r>
    </w:p>
    <w:p w:rsidR="00F95AFA" w:rsidRPr="00D84B56" w:rsidRDefault="00F95AFA" w:rsidP="00F95AFA">
      <w:pPr>
        <w:pStyle w:val="ParagraphStyle"/>
        <w:widowControl/>
        <w:jc w:val="center"/>
        <w:rPr>
          <w:rFonts w:ascii="Bookman Old Style" w:hAnsi="Bookman Old Style" w:cs="Bookman Old Style"/>
          <w:sz w:val="20"/>
          <w:szCs w:val="20"/>
        </w:rPr>
      </w:pPr>
      <w:r w:rsidRPr="00D84B56">
        <w:rPr>
          <w:rFonts w:ascii="Bookman Old Style" w:hAnsi="Bookman Old Style" w:cs="Bookman Old Style"/>
          <w:sz w:val="20"/>
          <w:szCs w:val="20"/>
        </w:rPr>
        <w:t xml:space="preserve">Prefeito Municipal </w:t>
      </w:r>
    </w:p>
    <w:p w:rsidR="00F95AFA" w:rsidRPr="00D84B56" w:rsidRDefault="00F95AFA" w:rsidP="00F95AFA">
      <w:pPr>
        <w:pStyle w:val="ParagraphStyle"/>
        <w:widowControl/>
        <w:tabs>
          <w:tab w:val="left" w:pos="6810"/>
        </w:tabs>
        <w:ind w:firstLine="855"/>
        <w:jc w:val="center"/>
        <w:rPr>
          <w:rFonts w:ascii="Bookman Old Style" w:hAnsi="Bookman Old Style" w:cs="Bookman Old Style"/>
          <w:sz w:val="20"/>
          <w:szCs w:val="20"/>
        </w:rPr>
      </w:pPr>
    </w:p>
    <w:p w:rsidR="00F95AFA" w:rsidRPr="00D84B56" w:rsidRDefault="00F95AFA" w:rsidP="00F95AFA">
      <w:pPr>
        <w:pStyle w:val="ParagraphStyle"/>
        <w:widowControl/>
        <w:tabs>
          <w:tab w:val="left" w:pos="6810"/>
        </w:tabs>
        <w:ind w:firstLine="855"/>
        <w:jc w:val="center"/>
        <w:rPr>
          <w:rFonts w:ascii="Bookman Old Style" w:hAnsi="Bookman Old Style" w:cs="Bookman Old Style"/>
          <w:sz w:val="20"/>
          <w:szCs w:val="20"/>
        </w:rPr>
      </w:pPr>
    </w:p>
    <w:p w:rsidR="00F95AFA" w:rsidRPr="00D84B56" w:rsidRDefault="00F95AFA" w:rsidP="00F95AFA">
      <w:pPr>
        <w:pStyle w:val="ParagraphStyle"/>
        <w:widowControl/>
        <w:tabs>
          <w:tab w:val="left" w:pos="6810"/>
        </w:tabs>
        <w:ind w:firstLine="855"/>
        <w:jc w:val="center"/>
        <w:rPr>
          <w:rFonts w:ascii="Bookman Old Style" w:hAnsi="Bookman Old Style" w:cs="Bookman Old Style"/>
          <w:sz w:val="20"/>
          <w:szCs w:val="20"/>
        </w:rPr>
      </w:pPr>
    </w:p>
    <w:p w:rsidR="00F95AFA" w:rsidRPr="00D84B56" w:rsidRDefault="00F95AFA" w:rsidP="00F95AFA">
      <w:pPr>
        <w:pStyle w:val="ParagraphStyle"/>
        <w:widowControl/>
        <w:tabs>
          <w:tab w:val="left" w:pos="6810"/>
        </w:tabs>
        <w:ind w:firstLine="45"/>
        <w:jc w:val="center"/>
        <w:rPr>
          <w:rFonts w:ascii="Bookman Old Style" w:hAnsi="Bookman Old Style" w:cs="Bookman Old Style"/>
          <w:b/>
          <w:bCs/>
          <w:sz w:val="20"/>
          <w:szCs w:val="20"/>
        </w:rPr>
      </w:pPr>
      <w:r w:rsidRPr="00D84B56">
        <w:rPr>
          <w:rFonts w:ascii="Bookman Old Style" w:hAnsi="Bookman Old Style" w:cs="Bookman Old Style"/>
          <w:b/>
          <w:bCs/>
          <w:sz w:val="20"/>
          <w:szCs w:val="20"/>
        </w:rPr>
        <w:t>COMERCIAL WELINGTON EIRELI</w:t>
      </w:r>
    </w:p>
    <w:p w:rsidR="00F95AFA" w:rsidRPr="00D84B56" w:rsidRDefault="00F95AFA" w:rsidP="00F95AFA">
      <w:pPr>
        <w:pStyle w:val="ParagraphStyle"/>
        <w:widowControl/>
        <w:tabs>
          <w:tab w:val="left" w:pos="6810"/>
        </w:tabs>
        <w:ind w:firstLine="45"/>
        <w:jc w:val="center"/>
        <w:rPr>
          <w:rFonts w:ascii="Bookman Old Style" w:hAnsi="Bookman Old Style" w:cs="Bookman Old Style"/>
          <w:sz w:val="20"/>
          <w:szCs w:val="20"/>
        </w:rPr>
      </w:pPr>
      <w:r w:rsidRPr="00D84B56">
        <w:rPr>
          <w:rFonts w:ascii="Bookman Old Style" w:hAnsi="Bookman Old Style" w:cs="Bookman Old Style"/>
          <w:sz w:val="20"/>
          <w:szCs w:val="20"/>
        </w:rPr>
        <w:t>CNPJ Nº: 02.993.456/0001-25</w:t>
      </w:r>
    </w:p>
    <w:p w:rsidR="00F95AFA" w:rsidRPr="00D84B56" w:rsidRDefault="00F95AFA" w:rsidP="00F95AFA">
      <w:pPr>
        <w:pStyle w:val="ParagraphStyle"/>
        <w:widowControl/>
        <w:tabs>
          <w:tab w:val="left" w:pos="6810"/>
        </w:tabs>
        <w:ind w:firstLine="45"/>
        <w:jc w:val="center"/>
        <w:rPr>
          <w:rFonts w:ascii="Bookman Old Style" w:hAnsi="Bookman Old Style" w:cs="Bookman Old Style"/>
          <w:b/>
          <w:bCs/>
          <w:sz w:val="20"/>
          <w:szCs w:val="20"/>
        </w:rPr>
      </w:pPr>
      <w:r w:rsidRPr="00D84B56">
        <w:rPr>
          <w:rFonts w:ascii="Bookman Old Style" w:hAnsi="Bookman Old Style" w:cs="Bookman Old Style"/>
          <w:b/>
          <w:bCs/>
          <w:sz w:val="20"/>
          <w:szCs w:val="20"/>
        </w:rPr>
        <w:t>WELINGTON ALFREDO PRUNZEL</w:t>
      </w:r>
    </w:p>
    <w:p w:rsidR="00F95AFA" w:rsidRPr="00D84B56" w:rsidRDefault="00F95AFA" w:rsidP="00F95AFA">
      <w:pPr>
        <w:pStyle w:val="ParagraphStyle"/>
        <w:widowControl/>
        <w:tabs>
          <w:tab w:val="left" w:pos="6810"/>
        </w:tabs>
        <w:ind w:firstLine="45"/>
        <w:jc w:val="center"/>
        <w:rPr>
          <w:rFonts w:ascii="Bookman Old Style" w:hAnsi="Bookman Old Style" w:cs="Bookman Old Style"/>
          <w:sz w:val="20"/>
          <w:szCs w:val="20"/>
        </w:rPr>
      </w:pPr>
      <w:r w:rsidRPr="00D84B56">
        <w:rPr>
          <w:rFonts w:ascii="Bookman Old Style" w:hAnsi="Bookman Old Style" w:cs="Bookman Old Style"/>
          <w:sz w:val="20"/>
          <w:szCs w:val="20"/>
        </w:rPr>
        <w:t>CPF Nº: 003.576.659-02</w:t>
      </w:r>
    </w:p>
    <w:p w:rsidR="00F95AFA" w:rsidRPr="00D84B56" w:rsidRDefault="00F95AFA" w:rsidP="00F95AFA">
      <w:pPr>
        <w:pStyle w:val="ParagraphStyle"/>
        <w:widowControl/>
        <w:tabs>
          <w:tab w:val="left" w:pos="6810"/>
        </w:tabs>
        <w:ind w:firstLine="45"/>
        <w:jc w:val="center"/>
        <w:rPr>
          <w:rFonts w:ascii="Bookman Old Style" w:hAnsi="Bookman Old Style" w:cs="Bookman Old Style"/>
          <w:sz w:val="20"/>
          <w:szCs w:val="20"/>
        </w:rPr>
      </w:pPr>
    </w:p>
    <w:p w:rsidR="00F95AFA" w:rsidRPr="00D84B56" w:rsidRDefault="00F95AFA" w:rsidP="00F95AFA">
      <w:pPr>
        <w:pStyle w:val="ParagraphStyle"/>
        <w:widowControl/>
        <w:rPr>
          <w:rFonts w:ascii="Bookman Old Style" w:hAnsi="Bookman Old Style" w:cs="Bookman Old Style"/>
          <w:sz w:val="20"/>
          <w:szCs w:val="20"/>
        </w:rPr>
      </w:pPr>
    </w:p>
    <w:p w:rsidR="00F95AFA" w:rsidRPr="00D84B56" w:rsidRDefault="00F95AFA" w:rsidP="00F95AFA">
      <w:pPr>
        <w:pStyle w:val="ParagraphStyle"/>
        <w:widowControl/>
        <w:rPr>
          <w:rFonts w:ascii="Bookman Old Style" w:hAnsi="Bookman Old Style" w:cs="Bookman Old Style"/>
          <w:sz w:val="20"/>
          <w:szCs w:val="20"/>
        </w:rPr>
      </w:pPr>
      <w:r w:rsidRPr="00D84B56">
        <w:rPr>
          <w:rFonts w:ascii="Bookman Old Style" w:hAnsi="Bookman Old Style" w:cs="Bookman Old Style"/>
          <w:sz w:val="20"/>
          <w:szCs w:val="20"/>
        </w:rPr>
        <w:t>Testemunhas:</w:t>
      </w:r>
    </w:p>
    <w:p w:rsidR="00F95AFA" w:rsidRPr="00D84B56" w:rsidRDefault="00F95AFA" w:rsidP="00F95AFA">
      <w:pPr>
        <w:pStyle w:val="ParagraphStyle"/>
        <w:widowControl/>
        <w:jc w:val="center"/>
        <w:rPr>
          <w:rFonts w:ascii="Bookman Old Style" w:hAnsi="Bookman Old Style" w:cs="Bookman Old Style"/>
          <w:sz w:val="20"/>
          <w:szCs w:val="20"/>
        </w:rPr>
      </w:pPr>
    </w:p>
    <w:p w:rsidR="00F95AFA" w:rsidRPr="00D84B56" w:rsidRDefault="00F95AFA" w:rsidP="00F95AFA">
      <w:pPr>
        <w:pStyle w:val="ParagraphStyle"/>
        <w:widowControl/>
        <w:jc w:val="center"/>
        <w:rPr>
          <w:rFonts w:ascii="Bookman Old Style" w:hAnsi="Bookman Old Style" w:cs="Bookman Old Style"/>
          <w:sz w:val="20"/>
          <w:szCs w:val="20"/>
        </w:rPr>
      </w:pPr>
    </w:p>
    <w:p w:rsidR="00F95AFA" w:rsidRPr="00F95AFA" w:rsidRDefault="00F95AFA" w:rsidP="00F95AFA">
      <w:pPr>
        <w:pStyle w:val="Centered"/>
        <w:rPr>
          <w:rFonts w:ascii="Bookman Old Style" w:hAnsi="Bookman Old Style" w:cs="Bookman Old Style"/>
          <w:b/>
          <w:sz w:val="20"/>
          <w:szCs w:val="20"/>
        </w:rPr>
      </w:pPr>
      <w:r w:rsidRPr="00F95AFA">
        <w:rPr>
          <w:rFonts w:ascii="Bookman Old Style" w:hAnsi="Bookman Old Style" w:cs="Bookman Old Style"/>
          <w:b/>
          <w:sz w:val="20"/>
          <w:szCs w:val="20"/>
        </w:rPr>
        <w:t>ALEX GOTARDI</w:t>
      </w:r>
    </w:p>
    <w:p w:rsidR="00F95AFA" w:rsidRPr="00D84B56" w:rsidRDefault="00F95AFA" w:rsidP="00F95AFA">
      <w:pPr>
        <w:pStyle w:val="Centered"/>
        <w:rPr>
          <w:rFonts w:ascii="Bookman Old Style" w:hAnsi="Bookman Old Style" w:cs="Bookman Old Style"/>
          <w:sz w:val="20"/>
          <w:szCs w:val="20"/>
        </w:rPr>
      </w:pPr>
      <w:r w:rsidRPr="00D84B56">
        <w:rPr>
          <w:rFonts w:ascii="Bookman Old Style" w:hAnsi="Bookman Old Style" w:cs="Bookman Old Style"/>
          <w:sz w:val="20"/>
          <w:szCs w:val="20"/>
        </w:rPr>
        <w:t>CPF Nº: 044.378.279-21</w:t>
      </w:r>
    </w:p>
    <w:p w:rsidR="00F95AFA" w:rsidRPr="00D84B56" w:rsidRDefault="00F95AFA" w:rsidP="00F95AFA">
      <w:pPr>
        <w:pStyle w:val="Centered"/>
        <w:rPr>
          <w:rFonts w:ascii="Bookman Old Style" w:hAnsi="Bookman Old Style" w:cs="Bookman Old Style"/>
          <w:sz w:val="20"/>
          <w:szCs w:val="20"/>
        </w:rPr>
      </w:pPr>
    </w:p>
    <w:p w:rsidR="00F95AFA" w:rsidRPr="00D84B56" w:rsidRDefault="00F95AFA" w:rsidP="00F95AFA">
      <w:pPr>
        <w:pStyle w:val="Centered"/>
        <w:rPr>
          <w:rFonts w:ascii="Bookman Old Style" w:hAnsi="Bookman Old Style" w:cs="Calibri"/>
          <w:sz w:val="20"/>
          <w:szCs w:val="20"/>
        </w:rPr>
      </w:pPr>
    </w:p>
    <w:p w:rsidR="00F95AFA" w:rsidRPr="00D84B56" w:rsidRDefault="00F95AFA" w:rsidP="00F95AFA">
      <w:pPr>
        <w:pStyle w:val="Centered"/>
        <w:rPr>
          <w:rFonts w:ascii="Bookman Old Style" w:hAnsi="Bookman Old Style" w:cs="Calibri"/>
          <w:sz w:val="20"/>
          <w:szCs w:val="20"/>
        </w:rPr>
      </w:pPr>
    </w:p>
    <w:p w:rsidR="00F95AFA" w:rsidRPr="00D84B56" w:rsidRDefault="00F95AFA" w:rsidP="00F95AFA">
      <w:pPr>
        <w:pStyle w:val="Centered"/>
        <w:rPr>
          <w:rFonts w:ascii="Bookman Old Style" w:hAnsi="Bookman Old Style" w:cs="Calibri"/>
          <w:sz w:val="20"/>
          <w:szCs w:val="20"/>
        </w:rPr>
      </w:pPr>
    </w:p>
    <w:p w:rsidR="00F95AFA" w:rsidRPr="00F95AFA" w:rsidRDefault="00F95AFA" w:rsidP="00F95AFA">
      <w:pPr>
        <w:pStyle w:val="Centered"/>
        <w:rPr>
          <w:rFonts w:ascii="Bookman Old Style" w:hAnsi="Bookman Old Style" w:cs="Bookman Old Style"/>
          <w:b/>
          <w:sz w:val="20"/>
          <w:szCs w:val="20"/>
        </w:rPr>
      </w:pPr>
      <w:r w:rsidRPr="00F95AFA">
        <w:rPr>
          <w:rFonts w:ascii="Bookman Old Style" w:hAnsi="Bookman Old Style" w:cs="Bookman Old Style"/>
          <w:b/>
          <w:sz w:val="20"/>
          <w:szCs w:val="20"/>
        </w:rPr>
        <w:t>VALDECIR PEREIRA LEITE</w:t>
      </w:r>
    </w:p>
    <w:p w:rsidR="00F95AFA" w:rsidRPr="00D84B56" w:rsidRDefault="00F95AFA" w:rsidP="00F95AFA">
      <w:pPr>
        <w:pStyle w:val="Centered"/>
        <w:rPr>
          <w:rFonts w:ascii="Bookman Old Style" w:hAnsi="Bookman Old Style" w:cs="Bookman Old Style"/>
          <w:sz w:val="20"/>
          <w:szCs w:val="20"/>
        </w:rPr>
      </w:pPr>
      <w:r w:rsidRPr="00D84B56">
        <w:rPr>
          <w:rFonts w:ascii="Bookman Old Style" w:hAnsi="Bookman Old Style" w:cs="Bookman Old Style"/>
          <w:sz w:val="20"/>
          <w:szCs w:val="20"/>
        </w:rPr>
        <w:t>CPF Nº: 717.616.759-15</w:t>
      </w:r>
    </w:p>
    <w:p w:rsidR="00E16E4D" w:rsidRPr="00E16E4D" w:rsidRDefault="00E16E4D" w:rsidP="00E16E4D">
      <w:pPr>
        <w:autoSpaceDE w:val="0"/>
        <w:autoSpaceDN w:val="0"/>
        <w:adjustRightInd w:val="0"/>
        <w:spacing w:after="165" w:line="252" w:lineRule="auto"/>
        <w:rPr>
          <w:rFonts w:ascii="Calibri" w:eastAsia="Times New Roman" w:hAnsi="Calibri" w:cs="Calibri"/>
          <w:lang w:eastAsia="pt-BR"/>
        </w:rPr>
      </w:pPr>
    </w:p>
    <w:p w:rsidR="00E16E4D" w:rsidRPr="00E16E4D" w:rsidRDefault="00E16E4D" w:rsidP="00E16E4D">
      <w:pPr>
        <w:widowControl w:val="0"/>
        <w:autoSpaceDE w:val="0"/>
        <w:autoSpaceDN w:val="0"/>
        <w:adjustRightInd w:val="0"/>
        <w:spacing w:after="0" w:line="240" w:lineRule="auto"/>
        <w:jc w:val="center"/>
        <w:rPr>
          <w:rFonts w:ascii="Calibri" w:eastAsia="Times New Roman" w:hAnsi="Calibri" w:cs="Calibri"/>
          <w:lang w:eastAsia="pt-BR"/>
        </w:rPr>
      </w:pPr>
    </w:p>
    <w:p w:rsidR="003650A5" w:rsidRDefault="003650A5"/>
    <w:sectPr w:rsidR="003650A5" w:rsidSect="00DC30FD">
      <w:headerReference w:type="default" r:id="rId5"/>
      <w:footerReference w:type="default" r:id="rId6"/>
      <w:pgSz w:w="11906" w:h="16838"/>
      <w:pgMar w:top="283" w:right="1134" w:bottom="283" w:left="1134" w:header="567" w:footer="624"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37B" w:rsidRDefault="00963D51">
    <w:pPr>
      <w:pStyle w:val="Rodap"/>
    </w:pPr>
  </w:p>
  <w:p w:rsidR="007C637B" w:rsidRDefault="00963D51">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37B" w:rsidRDefault="00E16E4D" w:rsidP="007C637B">
    <w:pPr>
      <w:spacing w:after="0"/>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sidR="00963D51">
      <w:rPr>
        <w:rFonts w:ascii="Bookman Old Style" w:hAnsi="Bookman Old Style" w:cs="Arial"/>
        <w:b/>
        <w:szCs w:val="20"/>
      </w:rPr>
      <w:t>MUNICÍPIO DE SANTO ANTONIO DO SUDOESTE</w:t>
    </w:r>
  </w:p>
  <w:p w:rsidR="007C637B" w:rsidRDefault="00963D51" w:rsidP="007C637B">
    <w:pPr>
      <w:spacing w:after="0"/>
      <w:jc w:val="center"/>
      <w:rPr>
        <w:rFonts w:ascii="Bookman Old Style" w:hAnsi="Bookman Old Style" w:cs="Arial"/>
        <w:szCs w:val="20"/>
      </w:rPr>
    </w:pPr>
    <w:r>
      <w:rPr>
        <w:rFonts w:ascii="Bookman Old Style" w:hAnsi="Bookman Old Style" w:cs="Arial"/>
        <w:szCs w:val="20"/>
      </w:rPr>
      <w:t>ESTADO DO PARANÁ</w:t>
    </w:r>
  </w:p>
  <w:p w:rsidR="007C637B" w:rsidRDefault="00963D51" w:rsidP="007C637B">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7C637B" w:rsidRDefault="00963D51" w:rsidP="007C637B">
    <w:pPr>
      <w:spacing w:after="0"/>
      <w:ind w:left="20"/>
      <w:jc w:val="center"/>
      <w:rPr>
        <w:rFonts w:ascii="Bookman Old Style" w:hAnsi="Bookman Old Style"/>
        <w:sz w:val="16"/>
      </w:rPr>
    </w:pPr>
    <w:r>
      <w:rPr>
        <w:rFonts w:ascii="Bookman Old Style" w:hAnsi="Bookman Old Style"/>
        <w:sz w:val="16"/>
      </w:rPr>
      <w:t xml:space="preserve">CNPJ 75.927.582/0001-55  </w:t>
    </w:r>
  </w:p>
  <w:p w:rsidR="007C637B" w:rsidRDefault="00963D51" w:rsidP="007C637B">
    <w:pPr>
      <w:spacing w:after="0"/>
      <w:ind w:left="20"/>
      <w:jc w:val="center"/>
      <w:rPr>
        <w:rFonts w:ascii="Bookman Old Style" w:hAnsi="Bookman Old Style"/>
        <w:sz w:val="16"/>
      </w:rPr>
    </w:pPr>
    <w:r>
      <w:rPr>
        <w:rFonts w:ascii="Bookman Old Style" w:hAnsi="Bookman Old Style"/>
        <w:sz w:val="16"/>
      </w:rPr>
      <w:t xml:space="preserve">E-mail: </w:t>
    </w:r>
    <w:hyperlink r:id="rId2" w:history="1">
      <w:r w:rsidRPr="00467675">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7C637B" w:rsidRDefault="00963D5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F2CD9"/>
    <w:multiLevelType w:val="multilevel"/>
    <w:tmpl w:val="915294A2"/>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6D49488E"/>
    <w:multiLevelType w:val="multilevel"/>
    <w:tmpl w:val="64A80A46"/>
    <w:lvl w:ilvl="0">
      <w:start w:val="4"/>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4D"/>
    <w:rsid w:val="003650A5"/>
    <w:rsid w:val="00963D51"/>
    <w:rsid w:val="00E16E4D"/>
    <w:rsid w:val="00F95A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B13F2"/>
  <w15:chartTrackingRefBased/>
  <w15:docId w15:val="{EE5FF605-E02A-4892-AFE3-4E23FABD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6E4D"/>
    <w:pPr>
      <w:tabs>
        <w:tab w:val="center" w:pos="4252"/>
        <w:tab w:val="right" w:pos="8504"/>
      </w:tabs>
    </w:pPr>
    <w:rPr>
      <w:rFonts w:ascii="Calibri" w:eastAsia="Times New Roman" w:hAnsi="Calibri" w:cs="Times New Roman"/>
      <w:lang w:eastAsia="pt-BR"/>
    </w:rPr>
  </w:style>
  <w:style w:type="character" w:customStyle="1" w:styleId="CabealhoChar">
    <w:name w:val="Cabeçalho Char"/>
    <w:basedOn w:val="Fontepargpadro"/>
    <w:link w:val="Cabealho"/>
    <w:uiPriority w:val="99"/>
    <w:rsid w:val="00E16E4D"/>
    <w:rPr>
      <w:rFonts w:ascii="Calibri" w:eastAsia="Times New Roman" w:hAnsi="Calibri" w:cs="Times New Roman"/>
      <w:lang w:eastAsia="pt-BR"/>
    </w:rPr>
  </w:style>
  <w:style w:type="paragraph" w:styleId="Rodap">
    <w:name w:val="footer"/>
    <w:basedOn w:val="Normal"/>
    <w:link w:val="RodapChar"/>
    <w:uiPriority w:val="99"/>
    <w:unhideWhenUsed/>
    <w:rsid w:val="00E16E4D"/>
    <w:pPr>
      <w:tabs>
        <w:tab w:val="center" w:pos="4252"/>
        <w:tab w:val="right" w:pos="8504"/>
      </w:tabs>
    </w:pPr>
    <w:rPr>
      <w:rFonts w:ascii="Calibri" w:eastAsia="Times New Roman" w:hAnsi="Calibri" w:cs="Times New Roman"/>
      <w:lang w:eastAsia="pt-BR"/>
    </w:rPr>
  </w:style>
  <w:style w:type="character" w:customStyle="1" w:styleId="RodapChar">
    <w:name w:val="Rodapé Char"/>
    <w:basedOn w:val="Fontepargpadro"/>
    <w:link w:val="Rodap"/>
    <w:uiPriority w:val="99"/>
    <w:rsid w:val="00E16E4D"/>
    <w:rPr>
      <w:rFonts w:ascii="Calibri" w:eastAsia="Times New Roman" w:hAnsi="Calibri" w:cs="Times New Roman"/>
      <w:lang w:eastAsia="pt-BR"/>
    </w:rPr>
  </w:style>
  <w:style w:type="character" w:styleId="Hyperlink">
    <w:name w:val="Hyperlink"/>
    <w:basedOn w:val="Fontepargpadro"/>
    <w:uiPriority w:val="99"/>
    <w:unhideWhenUsed/>
    <w:rsid w:val="00E16E4D"/>
    <w:rPr>
      <w:rFonts w:cs="Times New Roman"/>
      <w:color w:val="0563C1"/>
      <w:u w:val="single"/>
    </w:rPr>
  </w:style>
  <w:style w:type="paragraph" w:customStyle="1" w:styleId="ParagraphStyle">
    <w:name w:val="Paragraph Style"/>
    <w:rsid w:val="00E16E4D"/>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customStyle="1" w:styleId="Centered">
    <w:name w:val="Centered"/>
    <w:uiPriority w:val="99"/>
    <w:rsid w:val="00F95AFA"/>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paragraph" w:styleId="Textodebalo">
    <w:name w:val="Balloon Text"/>
    <w:basedOn w:val="Normal"/>
    <w:link w:val="TextodebaloChar"/>
    <w:uiPriority w:val="99"/>
    <w:semiHidden/>
    <w:unhideWhenUsed/>
    <w:rsid w:val="00963D5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63D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3974</Words>
  <Characters>21464</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LICITACA-04</dc:creator>
  <cp:keywords/>
  <dc:description/>
  <cp:lastModifiedBy>LICITACA-04</cp:lastModifiedBy>
  <cp:revision>1</cp:revision>
  <cp:lastPrinted>2022-02-07T12:24:00Z</cp:lastPrinted>
  <dcterms:created xsi:type="dcterms:W3CDTF">2022-02-07T11:54:00Z</dcterms:created>
  <dcterms:modified xsi:type="dcterms:W3CDTF">2022-02-07T12:27:00Z</dcterms:modified>
</cp:coreProperties>
</file>