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D7" w:rsidRDefault="008229D7" w:rsidP="008229D7">
      <w:pPr>
        <w:pStyle w:val="Corpodetexto"/>
        <w:spacing w:after="0"/>
        <w:jc w:val="right"/>
        <w:rPr>
          <w:rFonts w:ascii="Itau Display" w:hAnsi="Itau Display"/>
          <w:sz w:val="22"/>
          <w:szCs w:val="22"/>
        </w:rPr>
      </w:pPr>
      <w:r>
        <w:rPr>
          <w:rFonts w:ascii="Itau Display" w:hAnsi="Itau Display"/>
          <w:sz w:val="22"/>
          <w:szCs w:val="22"/>
        </w:rPr>
        <w:t>Santo Antonio do Sudoeste, 23 de setembro de 2019</w:t>
      </w:r>
    </w:p>
    <w:p w:rsidR="008229D7" w:rsidRDefault="008229D7" w:rsidP="008229D7">
      <w:pPr>
        <w:pStyle w:val="Corpodetexto"/>
        <w:spacing w:after="0"/>
        <w:jc w:val="both"/>
        <w:rPr>
          <w:rFonts w:ascii="Itau Display" w:hAnsi="Itau Display"/>
          <w:sz w:val="22"/>
          <w:szCs w:val="22"/>
        </w:rPr>
      </w:pPr>
    </w:p>
    <w:p w:rsidR="008229D7" w:rsidRDefault="008229D7" w:rsidP="008229D7">
      <w:pPr>
        <w:pStyle w:val="Corpodetexto"/>
        <w:spacing w:after="0"/>
        <w:jc w:val="both"/>
        <w:rPr>
          <w:rFonts w:ascii="Itau Display" w:hAnsi="Itau Display"/>
          <w:sz w:val="22"/>
          <w:szCs w:val="22"/>
        </w:rPr>
      </w:pPr>
    </w:p>
    <w:p w:rsidR="008229D7" w:rsidRDefault="008229D7" w:rsidP="008229D7">
      <w:pPr>
        <w:pStyle w:val="Corpodetexto"/>
        <w:spacing w:after="0"/>
        <w:jc w:val="both"/>
        <w:rPr>
          <w:rFonts w:ascii="Itau Display" w:hAnsi="Itau Display"/>
          <w:sz w:val="22"/>
          <w:szCs w:val="22"/>
          <w:lang w:val="x-none"/>
        </w:rPr>
      </w:pPr>
      <w:r>
        <w:rPr>
          <w:rFonts w:ascii="Itau Display" w:hAnsi="Itau Display"/>
          <w:sz w:val="22"/>
          <w:szCs w:val="22"/>
        </w:rPr>
        <w:t>À</w:t>
      </w:r>
    </w:p>
    <w:p w:rsidR="008229D7" w:rsidRDefault="008229D7" w:rsidP="008229D7">
      <w:pPr>
        <w:pStyle w:val="Corpodetexto"/>
        <w:spacing w:after="0"/>
        <w:jc w:val="both"/>
        <w:rPr>
          <w:rFonts w:ascii="Itau Display" w:hAnsi="Itau Display"/>
          <w:sz w:val="22"/>
          <w:szCs w:val="22"/>
        </w:rPr>
      </w:pPr>
      <w:r>
        <w:rPr>
          <w:rFonts w:ascii="Itau Display" w:hAnsi="Itau Display"/>
          <w:sz w:val="22"/>
          <w:szCs w:val="22"/>
        </w:rPr>
        <w:t>Prefeitura Municipal de Santo Antonio do Sudoeste - PR</w:t>
      </w:r>
    </w:p>
    <w:p w:rsidR="008229D7" w:rsidRDefault="008229D7" w:rsidP="008229D7">
      <w:pPr>
        <w:pStyle w:val="Corpodetexto"/>
        <w:spacing w:after="0"/>
        <w:jc w:val="both"/>
        <w:rPr>
          <w:rFonts w:ascii="Itau Display" w:hAnsi="Itau Display"/>
          <w:sz w:val="22"/>
          <w:szCs w:val="22"/>
        </w:rPr>
      </w:pPr>
      <w:r>
        <w:rPr>
          <w:rFonts w:ascii="Itau Display" w:hAnsi="Itau Display"/>
          <w:sz w:val="22"/>
          <w:szCs w:val="22"/>
        </w:rPr>
        <w:t>Avenida Brasil nº 1431</w:t>
      </w:r>
    </w:p>
    <w:p w:rsidR="008229D7" w:rsidRDefault="008229D7" w:rsidP="008229D7">
      <w:pPr>
        <w:pStyle w:val="Corpodetexto"/>
        <w:spacing w:after="0"/>
        <w:jc w:val="both"/>
        <w:rPr>
          <w:rFonts w:ascii="Itau Display" w:hAnsi="Itau Display"/>
          <w:b/>
          <w:bCs/>
          <w:sz w:val="22"/>
          <w:szCs w:val="22"/>
        </w:rPr>
      </w:pPr>
      <w:r>
        <w:rPr>
          <w:rFonts w:ascii="Itau Display" w:hAnsi="Itau Display"/>
          <w:sz w:val="22"/>
          <w:szCs w:val="22"/>
        </w:rPr>
        <w:t xml:space="preserve">e-mail: </w:t>
      </w:r>
      <w:hyperlink r:id="rId4" w:history="1">
        <w:r>
          <w:rPr>
            <w:rStyle w:val="Hyperlink"/>
            <w:rFonts w:ascii="Itau Display" w:hAnsi="Itau Display"/>
            <w:sz w:val="22"/>
            <w:szCs w:val="22"/>
          </w:rPr>
          <w:t>licitacao@pmsas.pr.gov.br</w:t>
        </w:r>
      </w:hyperlink>
      <w:r>
        <w:rPr>
          <w:rFonts w:ascii="Itau Display" w:hAnsi="Itau Display"/>
          <w:sz w:val="22"/>
          <w:szCs w:val="22"/>
        </w:rPr>
        <w:t xml:space="preserve"> </w:t>
      </w:r>
      <w:r>
        <w:rPr>
          <w:rFonts w:ascii="Itau Display" w:hAnsi="Itau Display"/>
          <w:b/>
          <w:bCs/>
          <w:sz w:val="22"/>
          <w:szCs w:val="22"/>
        </w:rPr>
        <w:t>(pedimos confirmar o recebimento)</w:t>
      </w:r>
    </w:p>
    <w:p w:rsidR="008229D7" w:rsidRDefault="008229D7" w:rsidP="008229D7">
      <w:pPr>
        <w:pStyle w:val="Corpodetexto"/>
        <w:spacing w:after="0"/>
        <w:jc w:val="both"/>
        <w:rPr>
          <w:rFonts w:ascii="Itau Display" w:hAnsi="Itau Display"/>
          <w:sz w:val="22"/>
          <w:szCs w:val="22"/>
        </w:rPr>
      </w:pPr>
    </w:p>
    <w:p w:rsidR="008229D7" w:rsidRDefault="008229D7" w:rsidP="008229D7">
      <w:pPr>
        <w:pStyle w:val="Corpodetexto"/>
        <w:spacing w:after="0"/>
        <w:ind w:firstLine="708"/>
        <w:jc w:val="both"/>
        <w:rPr>
          <w:rFonts w:ascii="Itau Display" w:hAnsi="Itau Display"/>
          <w:sz w:val="22"/>
          <w:szCs w:val="22"/>
        </w:rPr>
      </w:pPr>
      <w:r>
        <w:rPr>
          <w:rFonts w:ascii="Itau Display" w:hAnsi="Itau Display"/>
          <w:sz w:val="22"/>
          <w:szCs w:val="22"/>
          <w:lang w:val="x-none"/>
        </w:rPr>
        <w:t xml:space="preserve">Ref.: </w:t>
      </w:r>
      <w:r>
        <w:rPr>
          <w:rFonts w:ascii="Itau Display" w:hAnsi="Itau Display"/>
          <w:sz w:val="22"/>
          <w:szCs w:val="22"/>
        </w:rPr>
        <w:t xml:space="preserve">      Pregão Presencial </w:t>
      </w:r>
      <w:r>
        <w:rPr>
          <w:rFonts w:ascii="Itau Display" w:hAnsi="Itau Display"/>
          <w:sz w:val="22"/>
          <w:szCs w:val="22"/>
          <w:lang w:val="x-none"/>
        </w:rPr>
        <w:t xml:space="preserve">nº </w:t>
      </w:r>
      <w:r>
        <w:rPr>
          <w:rFonts w:ascii="Itau Display" w:hAnsi="Itau Display"/>
          <w:sz w:val="22"/>
          <w:szCs w:val="22"/>
        </w:rPr>
        <w:t>74/2019</w:t>
      </w:r>
    </w:p>
    <w:p w:rsidR="008229D7" w:rsidRDefault="008229D7" w:rsidP="008229D7">
      <w:pPr>
        <w:pStyle w:val="Corpodetexto"/>
        <w:spacing w:after="0"/>
        <w:ind w:firstLine="708"/>
        <w:jc w:val="both"/>
        <w:rPr>
          <w:rFonts w:ascii="Itau Display" w:hAnsi="Itau Display"/>
          <w:sz w:val="22"/>
          <w:szCs w:val="22"/>
        </w:rPr>
      </w:pPr>
      <w:r>
        <w:rPr>
          <w:rFonts w:ascii="Itau Display" w:hAnsi="Itau Display"/>
          <w:sz w:val="22"/>
          <w:szCs w:val="22"/>
        </w:rPr>
        <w:t>                Processo nº 673/2019</w:t>
      </w:r>
    </w:p>
    <w:p w:rsidR="008229D7" w:rsidRDefault="008229D7" w:rsidP="008229D7">
      <w:pPr>
        <w:pStyle w:val="Corpodetexto"/>
        <w:spacing w:after="0"/>
        <w:ind w:firstLine="708"/>
        <w:jc w:val="both"/>
        <w:rPr>
          <w:rFonts w:ascii="Itau Display" w:hAnsi="Itau Display"/>
          <w:sz w:val="22"/>
          <w:szCs w:val="22"/>
        </w:rPr>
      </w:pPr>
    </w:p>
    <w:p w:rsidR="008229D7" w:rsidRDefault="008229D7" w:rsidP="008229D7">
      <w:pPr>
        <w:pStyle w:val="Corpodetexto"/>
        <w:spacing w:after="0"/>
        <w:ind w:firstLine="708"/>
        <w:jc w:val="both"/>
        <w:rPr>
          <w:rFonts w:ascii="Itau Display" w:hAnsi="Itau Display"/>
          <w:sz w:val="22"/>
          <w:szCs w:val="22"/>
          <w:lang w:val="x-none"/>
        </w:rPr>
      </w:pPr>
      <w:r>
        <w:rPr>
          <w:rFonts w:ascii="Itau Display" w:hAnsi="Itau Display"/>
          <w:sz w:val="22"/>
          <w:szCs w:val="22"/>
          <w:lang w:val="x-none"/>
        </w:rPr>
        <w:t xml:space="preserve">Pedido de Esclarecimentos n.º </w:t>
      </w:r>
      <w:r>
        <w:rPr>
          <w:rFonts w:ascii="Itau Display" w:hAnsi="Itau Display"/>
          <w:b/>
          <w:bCs/>
          <w:sz w:val="22"/>
          <w:szCs w:val="22"/>
          <w:u w:val="single"/>
        </w:rPr>
        <w:t>01/</w:t>
      </w:r>
      <w:r>
        <w:rPr>
          <w:rFonts w:ascii="Itau Display" w:hAnsi="Itau Display"/>
          <w:sz w:val="22"/>
          <w:szCs w:val="22"/>
          <w:lang w:val="x-none"/>
        </w:rPr>
        <w:t>Itaú Unibanco</w:t>
      </w:r>
      <w:bookmarkStart w:id="0" w:name="_GoBack"/>
      <w:bookmarkEnd w:id="0"/>
    </w:p>
    <w:p w:rsidR="008229D7" w:rsidRDefault="008229D7" w:rsidP="008229D7">
      <w:pPr>
        <w:pStyle w:val="Corpodetexto"/>
        <w:spacing w:after="0"/>
        <w:jc w:val="both"/>
        <w:rPr>
          <w:rFonts w:ascii="Itau Display" w:hAnsi="Itau Display"/>
          <w:sz w:val="22"/>
          <w:szCs w:val="22"/>
          <w:lang w:val="x-none"/>
        </w:rPr>
      </w:pPr>
    </w:p>
    <w:p w:rsidR="008229D7" w:rsidRDefault="008229D7" w:rsidP="008229D7">
      <w:pPr>
        <w:pStyle w:val="Corpodetexto"/>
        <w:spacing w:after="0"/>
        <w:jc w:val="both"/>
        <w:rPr>
          <w:rFonts w:ascii="Itau Display" w:hAnsi="Itau Display"/>
          <w:b/>
          <w:bCs/>
          <w:sz w:val="22"/>
          <w:szCs w:val="22"/>
        </w:rPr>
      </w:pPr>
      <w:r>
        <w:rPr>
          <w:rFonts w:ascii="Itau Display" w:hAnsi="Itau Display"/>
          <w:b/>
          <w:bCs/>
          <w:sz w:val="22"/>
          <w:szCs w:val="22"/>
          <w:lang w:val="x-none"/>
        </w:rPr>
        <w:t>Prezados Senhores,</w:t>
      </w:r>
    </w:p>
    <w:p w:rsidR="008229D7" w:rsidRDefault="008229D7" w:rsidP="008229D7">
      <w:pPr>
        <w:pStyle w:val="Corpodetexto"/>
        <w:spacing w:after="0"/>
        <w:jc w:val="both"/>
        <w:rPr>
          <w:rFonts w:ascii="Itau Display" w:hAnsi="Itau Display"/>
          <w:sz w:val="22"/>
          <w:szCs w:val="22"/>
          <w:lang w:val="x-none"/>
        </w:rPr>
      </w:pPr>
      <w:r>
        <w:rPr>
          <w:rFonts w:ascii="Itau Display" w:hAnsi="Itau Display"/>
          <w:b/>
          <w:bCs/>
          <w:sz w:val="22"/>
          <w:szCs w:val="22"/>
          <w:lang w:val="x-none"/>
        </w:rPr>
        <w:t>ITAÚ UNIBANCO S.A.,</w:t>
      </w:r>
      <w:r>
        <w:rPr>
          <w:rFonts w:ascii="Itau Display" w:hAnsi="Itau Display"/>
          <w:sz w:val="22"/>
          <w:szCs w:val="22"/>
          <w:lang w:val="x-none"/>
        </w:rPr>
        <w:t xml:space="preserve"> inscrito no CNPJ sob n. 60.701.190/0001-04, sediado na Praça Alfredo Egydio de Souza Aranha, n. 100, Torre Olavo Setúbal, São Paulo/SP, CEP 04344-902, por seu representante legal abaixo identificado, na qualidade de interessado em participar da licitação em epígrafe, vem, respeitosamente à presença de </w:t>
      </w:r>
      <w:proofErr w:type="spellStart"/>
      <w:r>
        <w:rPr>
          <w:rFonts w:ascii="Itau Display" w:hAnsi="Itau Display"/>
          <w:sz w:val="22"/>
          <w:szCs w:val="22"/>
          <w:lang w:val="x-none"/>
        </w:rPr>
        <w:t>V.Sas</w:t>
      </w:r>
      <w:proofErr w:type="spellEnd"/>
      <w:r>
        <w:rPr>
          <w:rFonts w:ascii="Itau Display" w:hAnsi="Itau Display"/>
          <w:sz w:val="22"/>
          <w:szCs w:val="22"/>
          <w:lang w:val="x-none"/>
        </w:rPr>
        <w:t xml:space="preserve"> solicitar esclarecimentos sobre o Edital acima referido, especialmente em relação às seguintes disposições: </w:t>
      </w:r>
    </w:p>
    <w:p w:rsidR="008229D7" w:rsidRDefault="008229D7" w:rsidP="008229D7">
      <w:pPr>
        <w:pStyle w:val="Corpodetexto"/>
        <w:spacing w:after="0"/>
        <w:jc w:val="both"/>
        <w:rPr>
          <w:rFonts w:ascii="Itau Display" w:hAnsi="Itau Display"/>
          <w:sz w:val="22"/>
          <w:szCs w:val="22"/>
        </w:rPr>
      </w:pPr>
    </w:p>
    <w:p w:rsidR="008229D7" w:rsidRDefault="008229D7" w:rsidP="008229D7">
      <w:pPr>
        <w:jc w:val="both"/>
        <w:rPr>
          <w:rFonts w:ascii="Itau Display" w:hAnsi="Itau Display"/>
          <w:b/>
          <w:bCs/>
        </w:rPr>
      </w:pPr>
      <w:r>
        <w:rPr>
          <w:rFonts w:ascii="Itau Display" w:hAnsi="Itau Display"/>
          <w:b/>
          <w:bCs/>
        </w:rPr>
        <w:t>SITUAÇÃO DO ATUAL PAGADOR DA FOLHA:</w:t>
      </w:r>
    </w:p>
    <w:p w:rsidR="008229D7" w:rsidRDefault="008229D7" w:rsidP="008229D7">
      <w:pPr>
        <w:jc w:val="both"/>
        <w:rPr>
          <w:rFonts w:ascii="Itau Display" w:hAnsi="Itau Display"/>
        </w:rPr>
      </w:pPr>
      <w:proofErr w:type="gramStart"/>
      <w:r>
        <w:rPr>
          <w:rFonts w:ascii="Itau Display" w:hAnsi="Itau Display"/>
          <w:b/>
          <w:bCs/>
        </w:rPr>
        <w:t>1)</w:t>
      </w:r>
      <w:r>
        <w:t xml:space="preserve"> </w:t>
      </w:r>
      <w:r>
        <w:rPr>
          <w:rFonts w:ascii="Itau Display" w:hAnsi="Itau Display"/>
        </w:rPr>
        <w:t>É</w:t>
      </w:r>
      <w:proofErr w:type="gramEnd"/>
      <w:r>
        <w:rPr>
          <w:rFonts w:ascii="Itau Display" w:hAnsi="Itau Display"/>
        </w:rPr>
        <w:t xml:space="preserve"> sabido que atualmente a folha de pagamento dos funcionários está centralizada na Caixa Econômica Federal e Banco do Brasil. Assim, questionamos: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proofErr w:type="gramStart"/>
      <w:r>
        <w:rPr>
          <w:rFonts w:ascii="Itau Display" w:hAnsi="Itau Display"/>
          <w:b/>
          <w:bCs/>
        </w:rPr>
        <w:t xml:space="preserve">a) </w:t>
      </w:r>
      <w:r>
        <w:rPr>
          <w:rFonts w:ascii="Itau Display" w:hAnsi="Itau Display"/>
        </w:rPr>
        <w:t>Qual</w:t>
      </w:r>
      <w:proofErr w:type="gramEnd"/>
      <w:r>
        <w:rPr>
          <w:rFonts w:ascii="Itau Display" w:hAnsi="Itau Display"/>
        </w:rPr>
        <w:t xml:space="preserve"> é a data de término do contrato com o atual prestador de serviços?</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proofErr w:type="gramStart"/>
      <w:r>
        <w:rPr>
          <w:rFonts w:ascii="Itau Display" w:hAnsi="Itau Display"/>
          <w:b/>
          <w:bCs/>
        </w:rPr>
        <w:t>b)</w:t>
      </w:r>
      <w:r>
        <w:rPr>
          <w:rFonts w:ascii="Itau Display" w:hAnsi="Itau Display"/>
        </w:rPr>
        <w:t>Tendo</w:t>
      </w:r>
      <w:proofErr w:type="gramEnd"/>
      <w:r>
        <w:rPr>
          <w:rFonts w:ascii="Itau Display" w:hAnsi="Itau Display"/>
        </w:rPr>
        <w:t xml:space="preserve"> em vista a segurança jurídica necessária, uma vez que outra instituição financeira presta serviço do mesmo objeto ora licitado, o vencedor do Pregão será convocado para assinatura apenas após o término do contrato atual?</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proofErr w:type="gramStart"/>
      <w:r>
        <w:rPr>
          <w:rFonts w:ascii="Itau Display" w:hAnsi="Itau Display"/>
          <w:b/>
          <w:bCs/>
        </w:rPr>
        <w:t xml:space="preserve">c) </w:t>
      </w:r>
      <w:r>
        <w:rPr>
          <w:rFonts w:ascii="Itau Display" w:hAnsi="Itau Display"/>
        </w:rPr>
        <w:t>Caso</w:t>
      </w:r>
      <w:proofErr w:type="gramEnd"/>
      <w:r>
        <w:rPr>
          <w:rFonts w:ascii="Itau Display" w:hAnsi="Itau Display"/>
        </w:rPr>
        <w:t xml:space="preserve"> o contrato assinado antes do término do atual, é correto afirmar que a prestação de serviços (processamento da folha de pagamento), se iniciará após o término da vigência do prestador de serviços atual?</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INATIVOS:</w:t>
      </w:r>
    </w:p>
    <w:p w:rsidR="008229D7" w:rsidRDefault="008229D7" w:rsidP="008229D7">
      <w:pPr>
        <w:jc w:val="both"/>
        <w:rPr>
          <w:rFonts w:ascii="Itau Display" w:hAnsi="Itau Display"/>
        </w:rPr>
      </w:pPr>
      <w:r>
        <w:rPr>
          <w:rFonts w:ascii="Itau Display" w:hAnsi="Itau Display"/>
          <w:b/>
          <w:bCs/>
        </w:rPr>
        <w:t>2)</w:t>
      </w:r>
      <w:r>
        <w:t xml:space="preserve"> </w:t>
      </w:r>
      <w:r>
        <w:rPr>
          <w:rFonts w:ascii="Itau Display" w:hAnsi="Itau Display"/>
        </w:rPr>
        <w:t>O edital prevê o pagamento de inativos (aposentados, pensionista e similares), sendo assim questionamos: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proofErr w:type="gramStart"/>
      <w:r>
        <w:rPr>
          <w:rFonts w:ascii="Itau Display" w:hAnsi="Itau Display"/>
          <w:b/>
          <w:bCs/>
        </w:rPr>
        <w:t>a)</w:t>
      </w:r>
      <w:r>
        <w:rPr>
          <w:rFonts w:ascii="Itau Display" w:hAnsi="Itau Display"/>
        </w:rPr>
        <w:t xml:space="preserve"> Os</w:t>
      </w:r>
      <w:proofErr w:type="gramEnd"/>
      <w:r>
        <w:rPr>
          <w:rFonts w:ascii="Itau Display" w:hAnsi="Itau Display"/>
        </w:rPr>
        <w:t xml:space="preserve"> inativos recebem por algum Instituto/Fundo de Previdência ou são pagos pela própria Prefeitura?</w:t>
      </w:r>
    </w:p>
    <w:p w:rsidR="008229D7" w:rsidRDefault="008229D7" w:rsidP="008229D7">
      <w:pPr>
        <w:jc w:val="both"/>
        <w:rPr>
          <w:rFonts w:ascii="Itau Display" w:hAnsi="Itau Display"/>
        </w:rPr>
      </w:pPr>
    </w:p>
    <w:p w:rsidR="008229D7" w:rsidRDefault="008229D7" w:rsidP="008229D7">
      <w:pPr>
        <w:jc w:val="both"/>
        <w:rPr>
          <w:rFonts w:ascii="Itau Display" w:hAnsi="Itau Display"/>
          <w:color w:val="000000"/>
        </w:rPr>
      </w:pPr>
      <w:proofErr w:type="gramStart"/>
      <w:r>
        <w:rPr>
          <w:rFonts w:ascii="Itau Display" w:hAnsi="Itau Display"/>
          <w:b/>
          <w:bCs/>
        </w:rPr>
        <w:t>b)</w:t>
      </w:r>
      <w:r>
        <w:rPr>
          <w:rFonts w:ascii="Itau Display" w:hAnsi="Itau Display"/>
        </w:rPr>
        <w:t xml:space="preserve"> </w:t>
      </w:r>
      <w:r>
        <w:rPr>
          <w:rFonts w:ascii="Itau Display" w:hAnsi="Itau Display"/>
          <w:color w:val="000000"/>
        </w:rPr>
        <w:t>Caso</w:t>
      </w:r>
      <w:proofErr w:type="gramEnd"/>
      <w:r>
        <w:rPr>
          <w:rFonts w:ascii="Itau Display" w:hAnsi="Itau Display"/>
          <w:color w:val="000000"/>
        </w:rPr>
        <w:t xml:space="preserve"> os inativos e pensionistas recebam por Instituto/Fundo de Previdência, o Município de Santo Antonio do Sudoeste obteve autorização prévia e expressa delas para promover a licitação </w:t>
      </w:r>
      <w:r>
        <w:rPr>
          <w:rFonts w:ascii="Itau Display" w:hAnsi="Itau Display"/>
          <w:color w:val="000000"/>
        </w:rPr>
        <w:lastRenderedPageBreak/>
        <w:t>de suas folhas de pagamento? Em caso positivo, favor disponibilizar cópias dos respectivos Convênios/autorizações.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c)</w:t>
      </w:r>
      <w:r>
        <w:rPr>
          <w:rFonts w:ascii="Itau Display" w:hAnsi="Itau Display"/>
        </w:rPr>
        <w:t xml:space="preserve"> Caso a Prefeitura não tenha celebrado convênios/autorizações prévias, as entidades da Administração Indireta assinarão o contrato administrativo juntamente com a Prefeitura? Na hipótese de as entidades administrativas não assinarem simultaneamente com o Município, o futuro contratado deverá pagar à Prefeitura apenas o valor proporcional relativamente às folhas que realmente lhe forem transferidas?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d)</w:t>
      </w:r>
      <w:r>
        <w:rPr>
          <w:rFonts w:ascii="Itau Display" w:hAnsi="Itau Display"/>
        </w:rPr>
        <w:t xml:space="preserve"> O pagamento da oferta será feito diretamente à Prefeitura ou a cada órgão/ente da Administração, proporcionalmente ao tamanho de sua folha?</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e)</w:t>
      </w:r>
      <w:r>
        <w:rPr>
          <w:rFonts w:ascii="Itau Display" w:hAnsi="Itau Display"/>
        </w:rPr>
        <w:t xml:space="preserve"> Favor informar todos os </w:t>
      </w:r>
      <w:proofErr w:type="spellStart"/>
      <w:r>
        <w:rPr>
          <w:rFonts w:ascii="Itau Display" w:hAnsi="Itau Display"/>
        </w:rPr>
        <w:t>CNPJ’s</w:t>
      </w:r>
      <w:proofErr w:type="spellEnd"/>
      <w:r>
        <w:rPr>
          <w:rFonts w:ascii="Itau Display" w:hAnsi="Itau Display"/>
        </w:rPr>
        <w:t xml:space="preserve"> envolvidos no Pregão Presencial nº 171/2019 (inclusive de eventuais Fundos/Institutos de Previdência, empresas terceirizadas, ONGs e assemelhados).</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EMPRÉSTIMO CONSIGNADO:</w:t>
      </w:r>
    </w:p>
    <w:p w:rsidR="008229D7" w:rsidRDefault="008229D7" w:rsidP="008229D7">
      <w:pPr>
        <w:jc w:val="both"/>
        <w:rPr>
          <w:rFonts w:ascii="Itau Display" w:hAnsi="Itau Display"/>
          <w:b/>
          <w:bCs/>
        </w:rPr>
      </w:pPr>
      <w:r>
        <w:rPr>
          <w:rFonts w:ascii="Itau Display" w:hAnsi="Itau Display"/>
          <w:b/>
          <w:bCs/>
        </w:rPr>
        <w:t xml:space="preserve">3) </w:t>
      </w:r>
      <w:r>
        <w:rPr>
          <w:rFonts w:ascii="Itau Display" w:hAnsi="Itau Display"/>
        </w:rPr>
        <w:t>O edital prevê a concessão de empréstimo consignado. Sendo assim, seguem as dúvidas sobre o produto:</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proofErr w:type="gramStart"/>
      <w:r>
        <w:rPr>
          <w:rFonts w:ascii="Itau Display" w:hAnsi="Itau Display"/>
          <w:b/>
          <w:bCs/>
        </w:rPr>
        <w:t xml:space="preserve">a) </w:t>
      </w:r>
      <w:r>
        <w:rPr>
          <w:rFonts w:ascii="Itau Display" w:hAnsi="Itau Display"/>
        </w:rPr>
        <w:t>É</w:t>
      </w:r>
      <w:proofErr w:type="gramEnd"/>
      <w:r>
        <w:rPr>
          <w:rFonts w:ascii="Itau Display" w:hAnsi="Itau Display"/>
        </w:rPr>
        <w:t xml:space="preserve"> correto afirmar que o banco vencedor poderá oferecer empréstimos consignados caso tenha interesse, não sendo obrigado a isso, já que esta modalidade de empréstimo por regra do CMN/Bacen é prestada sem exclusividade?</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r>
        <w:rPr>
          <w:rFonts w:ascii="Itau Display" w:hAnsi="Itau Display"/>
          <w:b/>
          <w:bCs/>
        </w:rPr>
        <w:t xml:space="preserve">b) </w:t>
      </w:r>
      <w:r>
        <w:rPr>
          <w:rFonts w:ascii="Itau Display" w:hAnsi="Itau Display"/>
        </w:rPr>
        <w:t xml:space="preserve">O </w:t>
      </w:r>
      <w:proofErr w:type="spellStart"/>
      <w:r>
        <w:rPr>
          <w:rFonts w:ascii="Itau Display" w:hAnsi="Itau Display"/>
        </w:rPr>
        <w:t>conveniamento</w:t>
      </w:r>
      <w:proofErr w:type="spellEnd"/>
      <w:r>
        <w:rPr>
          <w:rFonts w:ascii="Itau Display" w:hAnsi="Itau Display"/>
        </w:rPr>
        <w:t xml:space="preserve"> do consignado faz parte do objeto licitado ou sua contratação seguirá regras e procedimentos de processo administrativo próprio e independente ao presente certame?</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proofErr w:type="gramStart"/>
      <w:r>
        <w:rPr>
          <w:rFonts w:ascii="Itau Display" w:hAnsi="Itau Display"/>
          <w:b/>
          <w:bCs/>
        </w:rPr>
        <w:t xml:space="preserve">c) </w:t>
      </w:r>
      <w:r>
        <w:rPr>
          <w:rFonts w:ascii="Itau Display" w:hAnsi="Itau Display"/>
        </w:rPr>
        <w:t>Possui</w:t>
      </w:r>
      <w:proofErr w:type="gramEnd"/>
      <w:r>
        <w:rPr>
          <w:rFonts w:ascii="Itau Display" w:hAnsi="Itau Display"/>
        </w:rPr>
        <w:t xml:space="preserve"> legislação especifica para o consignado? Se sim, pedimos a gentileza de disponibiliza-la.</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proofErr w:type="gramStart"/>
      <w:r>
        <w:rPr>
          <w:rFonts w:ascii="Itau Display" w:hAnsi="Itau Display"/>
          <w:b/>
          <w:bCs/>
        </w:rPr>
        <w:t xml:space="preserve">d) </w:t>
      </w:r>
      <w:r>
        <w:rPr>
          <w:rFonts w:ascii="Itau Display" w:hAnsi="Itau Display"/>
        </w:rPr>
        <w:t>Será</w:t>
      </w:r>
      <w:proofErr w:type="gramEnd"/>
      <w:r>
        <w:rPr>
          <w:rFonts w:ascii="Itau Display" w:hAnsi="Itau Display"/>
        </w:rPr>
        <w:t xml:space="preserve"> celebrado convênio em especifico? A minuta será fornecida pelo órgão ou pelo banco? Caso seja minuta especifica do órgão, favor disponibiliza-la para análise.</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proofErr w:type="gramStart"/>
      <w:r>
        <w:rPr>
          <w:rFonts w:ascii="Itau Display" w:hAnsi="Itau Display"/>
          <w:b/>
          <w:bCs/>
        </w:rPr>
        <w:t xml:space="preserve">e) </w:t>
      </w:r>
      <w:r>
        <w:rPr>
          <w:rFonts w:ascii="Itau Display" w:hAnsi="Itau Display"/>
        </w:rPr>
        <w:t>Quais</w:t>
      </w:r>
      <w:proofErr w:type="gramEnd"/>
      <w:r>
        <w:rPr>
          <w:rFonts w:ascii="Itau Display" w:hAnsi="Itau Display"/>
        </w:rPr>
        <w:t xml:space="preserve"> autarquias estão vinculadas ao certame? A formalização da minuta do consignado será individual para cada autarquia?</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proofErr w:type="gramStart"/>
      <w:r>
        <w:rPr>
          <w:rFonts w:ascii="Itau Display" w:hAnsi="Itau Display"/>
          <w:b/>
          <w:bCs/>
        </w:rPr>
        <w:t xml:space="preserve">f) </w:t>
      </w:r>
      <w:r>
        <w:rPr>
          <w:rFonts w:ascii="Itau Display" w:hAnsi="Itau Display"/>
        </w:rPr>
        <w:t>Qual</w:t>
      </w:r>
      <w:proofErr w:type="gramEnd"/>
      <w:r>
        <w:rPr>
          <w:rFonts w:ascii="Itau Display" w:hAnsi="Itau Display"/>
        </w:rPr>
        <w:t xml:space="preserve"> a margem máxima adota pelo órgão? É possível que os servidores tenham mais de um contrato de crédito consignado, desde que não ultrapasse a margem estabelecida por lei?</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r>
        <w:rPr>
          <w:rFonts w:ascii="Itau Display" w:hAnsi="Itau Display"/>
          <w:b/>
          <w:bCs/>
        </w:rPr>
        <w:lastRenderedPageBreak/>
        <w:t xml:space="preserve">g) </w:t>
      </w:r>
      <w:r>
        <w:rPr>
          <w:rFonts w:ascii="Itau Display" w:hAnsi="Itau Display"/>
        </w:rPr>
        <w:t>O órgão opera com site de gestão das margens do consignado? Se sim, qual o site? Quais os custos envolvendo adesão e manutenção do site? A contratação do site ocorreu por licitação? Qual o vencimento do contrato? Solicitamos uma cópia do edital e ata?</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proofErr w:type="gramStart"/>
      <w:r>
        <w:rPr>
          <w:rFonts w:ascii="Itau Display" w:hAnsi="Itau Display"/>
          <w:b/>
          <w:bCs/>
        </w:rPr>
        <w:t xml:space="preserve">h) </w:t>
      </w:r>
      <w:r>
        <w:rPr>
          <w:rFonts w:ascii="Itau Display" w:hAnsi="Itau Display"/>
        </w:rPr>
        <w:t>Qual</w:t>
      </w:r>
      <w:proofErr w:type="gramEnd"/>
      <w:r>
        <w:rPr>
          <w:rFonts w:ascii="Itau Display" w:hAnsi="Itau Display"/>
        </w:rPr>
        <w:t xml:space="preserve"> prazo máximo das operações de consignado? Consta em legislação? O órgão efetuará o desconto das parcelas na provisão de férias dos servidores?</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proofErr w:type="gramStart"/>
      <w:r>
        <w:rPr>
          <w:rFonts w:ascii="Itau Display" w:hAnsi="Itau Display"/>
          <w:b/>
          <w:bCs/>
        </w:rPr>
        <w:t xml:space="preserve">i) </w:t>
      </w:r>
      <w:r>
        <w:rPr>
          <w:rFonts w:ascii="Itau Display" w:hAnsi="Itau Display"/>
        </w:rPr>
        <w:t>Em</w:t>
      </w:r>
      <w:proofErr w:type="gramEnd"/>
      <w:r>
        <w:rPr>
          <w:rFonts w:ascii="Itau Display" w:hAnsi="Itau Display"/>
        </w:rPr>
        <w:t xml:space="preserve"> caso de perda de margem consignável do servidor, está correto o entendimento de que a prefeitura fará o desconto parcial do valor consignado e repassará a consignatária? Se a consignatária não quiser que a prefeitura faça o desconto parcial. É possível?</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proofErr w:type="gramStart"/>
      <w:r>
        <w:rPr>
          <w:rFonts w:ascii="Itau Display" w:hAnsi="Itau Display"/>
          <w:b/>
          <w:bCs/>
        </w:rPr>
        <w:t xml:space="preserve">j) </w:t>
      </w:r>
      <w:r>
        <w:rPr>
          <w:rFonts w:ascii="Itau Display" w:hAnsi="Itau Display"/>
        </w:rPr>
        <w:t>Em</w:t>
      </w:r>
      <w:proofErr w:type="gramEnd"/>
      <w:r>
        <w:rPr>
          <w:rFonts w:ascii="Itau Display" w:hAnsi="Itau Display"/>
        </w:rPr>
        <w:t xml:space="preserve"> caso de desligamento/exoneração do servidor, está correto o entendimento de que a prefeitura fará o repasse das verbas rescisórias a consignatária?</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proofErr w:type="gramStart"/>
      <w:r>
        <w:rPr>
          <w:rFonts w:ascii="Itau Display" w:hAnsi="Itau Display"/>
          <w:b/>
          <w:bCs/>
        </w:rPr>
        <w:t xml:space="preserve">k) </w:t>
      </w:r>
      <w:r>
        <w:rPr>
          <w:rFonts w:ascii="Itau Display" w:hAnsi="Itau Display"/>
        </w:rPr>
        <w:t>Quais</w:t>
      </w:r>
      <w:proofErr w:type="gramEnd"/>
      <w:r>
        <w:rPr>
          <w:rFonts w:ascii="Itau Display" w:hAnsi="Itau Display"/>
        </w:rPr>
        <w:t xml:space="preserve"> bancos operam atualmente na concessão de crédito consignado e qual a distribuição dos repasses entre as instituições?</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r>
        <w:rPr>
          <w:rFonts w:ascii="Itau Display" w:hAnsi="Itau Display"/>
          <w:b/>
          <w:bCs/>
        </w:rPr>
        <w:t>DA ESTRUTURA:</w:t>
      </w:r>
    </w:p>
    <w:p w:rsidR="008229D7" w:rsidRDefault="008229D7" w:rsidP="008229D7">
      <w:pPr>
        <w:jc w:val="both"/>
        <w:rPr>
          <w:rFonts w:ascii="Itau Display" w:hAnsi="Itau Display"/>
        </w:rPr>
      </w:pPr>
      <w:r>
        <w:rPr>
          <w:rFonts w:ascii="Itau Display" w:hAnsi="Itau Display"/>
          <w:b/>
          <w:bCs/>
        </w:rPr>
        <w:t>4)</w:t>
      </w:r>
      <w:r>
        <w:rPr>
          <w:rFonts w:ascii="Itau Display" w:hAnsi="Itau Display"/>
        </w:rPr>
        <w:t xml:space="preserve"> O item 3.1 do edital prevê que a Instituição Financeira vencedora do certame mantenha no município de Santo Antonio do Sudoeste o funcionamento de agência bancária ou Posto Bancário, eventualmente instalado no paço municipal.</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Diante do exposto, questionamos: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proofErr w:type="gramStart"/>
      <w:r>
        <w:rPr>
          <w:rFonts w:ascii="Itau Display" w:hAnsi="Itau Display"/>
          <w:b/>
          <w:bCs/>
        </w:rPr>
        <w:t xml:space="preserve">a) </w:t>
      </w:r>
      <w:r>
        <w:rPr>
          <w:rFonts w:ascii="Itau Display" w:hAnsi="Itau Display"/>
        </w:rPr>
        <w:t>É</w:t>
      </w:r>
      <w:proofErr w:type="gramEnd"/>
      <w:r>
        <w:rPr>
          <w:rFonts w:ascii="Itau Display" w:hAnsi="Itau Display"/>
        </w:rPr>
        <w:t xml:space="preserve"> correto o entendimento de que a instalação do Posto de Atendimento Bancário, nas dependências da Prefeitura Municipal de Santo Antonio do Sudoeste será facultativa, mediante prévio acordo entre as partes?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b)</w:t>
      </w:r>
      <w:r>
        <w:rPr>
          <w:rFonts w:ascii="Itau Display" w:hAnsi="Itau Display"/>
        </w:rPr>
        <w:t xml:space="preserve"> O espaço físico informado no item supracitado encontra-se ocupado por algum banco?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 xml:space="preserve">c) </w:t>
      </w:r>
      <w:r>
        <w:rPr>
          <w:rFonts w:ascii="Itau Display" w:hAnsi="Itau Display"/>
        </w:rPr>
        <w:t>Caso positivo na pergunta anterior, qual o prazo para desocupação do mesmo?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 xml:space="preserve">d) </w:t>
      </w:r>
      <w:r>
        <w:rPr>
          <w:rFonts w:ascii="Itau Display" w:hAnsi="Itau Display"/>
        </w:rPr>
        <w:t>O público externo tem (ou terá) acesso ao espaço ou será restrito aos servidores?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proofErr w:type="gramStart"/>
      <w:r>
        <w:rPr>
          <w:rFonts w:ascii="Itau Display" w:hAnsi="Itau Display"/>
          <w:b/>
          <w:bCs/>
        </w:rPr>
        <w:t xml:space="preserve">e) </w:t>
      </w:r>
      <w:r>
        <w:rPr>
          <w:rFonts w:ascii="Itau Display" w:hAnsi="Itau Display"/>
        </w:rPr>
        <w:t>Quantos</w:t>
      </w:r>
      <w:proofErr w:type="gramEnd"/>
      <w:r>
        <w:rPr>
          <w:rFonts w:ascii="Itau Display" w:hAnsi="Itau Display"/>
        </w:rPr>
        <w:t xml:space="preserve"> servidores/funcionários trabalham no prédio onde deverá ser instalada a estrutura de autoatendimento (caixa eletrônico)?</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proofErr w:type="gramStart"/>
      <w:r>
        <w:rPr>
          <w:rFonts w:ascii="Itau Display" w:hAnsi="Itau Display"/>
          <w:b/>
          <w:bCs/>
        </w:rPr>
        <w:lastRenderedPageBreak/>
        <w:t xml:space="preserve">f) </w:t>
      </w:r>
      <w:r>
        <w:rPr>
          <w:rFonts w:ascii="Itau Display" w:hAnsi="Itau Display"/>
        </w:rPr>
        <w:t>Qual</w:t>
      </w:r>
      <w:proofErr w:type="gramEnd"/>
      <w:r>
        <w:rPr>
          <w:rFonts w:ascii="Itau Display" w:hAnsi="Itau Display"/>
        </w:rPr>
        <w:t xml:space="preserve"> a metragem do espaço a ser disponibilizado para a instalação do PAB?</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proofErr w:type="gramStart"/>
      <w:r>
        <w:rPr>
          <w:rFonts w:ascii="Itau Display" w:hAnsi="Itau Display"/>
          <w:b/>
          <w:bCs/>
        </w:rPr>
        <w:t xml:space="preserve">g) </w:t>
      </w:r>
      <w:r>
        <w:rPr>
          <w:rFonts w:ascii="Itau Display" w:hAnsi="Itau Display"/>
        </w:rPr>
        <w:t>Está</w:t>
      </w:r>
      <w:proofErr w:type="gramEnd"/>
      <w:r>
        <w:rPr>
          <w:rFonts w:ascii="Itau Display" w:hAnsi="Itau Display"/>
        </w:rPr>
        <w:t xml:space="preserve"> correto o entendimento de que a utilização dos espaços físicos pertencentes à Prefeitura dar-se-á sem ônus adicional ao futuro contratado?</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DA DECLARAÇÃO:</w:t>
      </w:r>
    </w:p>
    <w:p w:rsidR="008229D7" w:rsidRDefault="008229D7" w:rsidP="008229D7">
      <w:pPr>
        <w:jc w:val="both"/>
        <w:rPr>
          <w:rFonts w:ascii="Itau Display" w:hAnsi="Itau Display"/>
        </w:rPr>
      </w:pPr>
      <w:r>
        <w:rPr>
          <w:rFonts w:ascii="Itau Display" w:hAnsi="Itau Display"/>
          <w:b/>
          <w:bCs/>
        </w:rPr>
        <w:t>5)</w:t>
      </w:r>
      <w:r>
        <w:rPr>
          <w:rFonts w:ascii="Itau Display" w:hAnsi="Itau Display"/>
        </w:rPr>
        <w:t xml:space="preserve"> </w:t>
      </w:r>
      <w:proofErr w:type="gramStart"/>
      <w:r>
        <w:rPr>
          <w:rFonts w:ascii="Itau Display" w:hAnsi="Itau Display"/>
          <w:b/>
          <w:bCs/>
        </w:rPr>
        <w:t> </w:t>
      </w:r>
      <w:r>
        <w:rPr>
          <w:rFonts w:ascii="Itau Display" w:hAnsi="Itau Display"/>
        </w:rPr>
        <w:t>Observamos</w:t>
      </w:r>
      <w:proofErr w:type="gramEnd"/>
      <w:r>
        <w:rPr>
          <w:rFonts w:ascii="Itau Display" w:hAnsi="Itau Display"/>
        </w:rPr>
        <w:t xml:space="preserve"> que o edital exige a apresentação de que a licitante não tenha em seu quadro societário e de empregados, servidor ou dirigente de órgão ou entidade contratante ou responsável pela licitação.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Considerando que: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 Os potenciais licitantes são Sociedades Anônimas com extenso rol de representantes eleitos em Assembleia Geral Ordinária anual;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 O contrato será celebrado com uma pessoa jurídica, portanto </w:t>
      </w:r>
      <w:proofErr w:type="gramStart"/>
      <w:r>
        <w:rPr>
          <w:rFonts w:ascii="Itau Display" w:hAnsi="Itau Display"/>
        </w:rPr>
        <w:t>não  há</w:t>
      </w:r>
      <w:proofErr w:type="gramEnd"/>
      <w:r>
        <w:rPr>
          <w:rFonts w:ascii="Itau Display" w:hAnsi="Itau Display"/>
        </w:rPr>
        <w:t xml:space="preserve"> o que se medir através de seus empregados;;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 A Súmula Vinculante 13/STF de 21 de agosto de 2008 veda a contratação de parentes para trabalhar na administração pública, não abrangendo as empresas privadas fornecedoras de produtos e serviços ao município; </w:t>
      </w:r>
    </w:p>
    <w:p w:rsidR="008229D7" w:rsidRDefault="008229D7" w:rsidP="008229D7">
      <w:pPr>
        <w:jc w:val="both"/>
        <w:rPr>
          <w:rFonts w:ascii="Itau Display" w:hAnsi="Itau Display"/>
        </w:rPr>
      </w:pPr>
      <w:r>
        <w:rPr>
          <w:rFonts w:ascii="Itau Display" w:hAnsi="Itau Display"/>
        </w:rPr>
        <w:t xml:space="preserve">- O Itaú Unibanco possui mais de 90.000 funcionários não sendo possível viabilizar o controle se algum deles possui qualquer vínculo com o Município de Santo Antonio do Sudoeste.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Diante disto, solicitamos: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a)</w:t>
      </w:r>
      <w:r>
        <w:rPr>
          <w:rFonts w:ascii="Itau Display" w:hAnsi="Itau Display"/>
        </w:rPr>
        <w:t xml:space="preserve"> A dispensa de apresentação da declaração que consta no anexo VIII.</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proofErr w:type="gramStart"/>
      <w:r>
        <w:rPr>
          <w:rFonts w:ascii="Itau Display" w:hAnsi="Itau Display"/>
          <w:b/>
          <w:bCs/>
        </w:rPr>
        <w:t>b)</w:t>
      </w:r>
      <w:r>
        <w:rPr>
          <w:rFonts w:ascii="Itau Display" w:hAnsi="Itau Display"/>
        </w:rPr>
        <w:t xml:space="preserve"> Caso</w:t>
      </w:r>
      <w:proofErr w:type="gramEnd"/>
      <w:r>
        <w:rPr>
          <w:rFonts w:ascii="Itau Display" w:hAnsi="Itau Display"/>
        </w:rPr>
        <w:t xml:space="preserve"> a resposta anterior seja negativa, solicitamos que ela seja mantida, porém, restrita aos dirigentes da instituição financeira envolvidos na contratação com o a Prefeitura Municipal de Santo Antonio do Sudoeste.</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DOCUMENTAÇÃO:</w:t>
      </w:r>
    </w:p>
    <w:p w:rsidR="008229D7" w:rsidRDefault="008229D7" w:rsidP="008229D7">
      <w:pPr>
        <w:jc w:val="both"/>
        <w:rPr>
          <w:rFonts w:ascii="Itau Display" w:hAnsi="Itau Display"/>
        </w:rPr>
      </w:pPr>
      <w:proofErr w:type="gramStart"/>
      <w:r>
        <w:rPr>
          <w:rFonts w:ascii="Itau Display" w:hAnsi="Itau Display"/>
          <w:b/>
          <w:bCs/>
        </w:rPr>
        <w:t xml:space="preserve">6) </w:t>
      </w:r>
      <w:r>
        <w:rPr>
          <w:rFonts w:ascii="Itau Display" w:hAnsi="Itau Display"/>
        </w:rPr>
        <w:t>Está</w:t>
      </w:r>
      <w:proofErr w:type="gramEnd"/>
      <w:r>
        <w:rPr>
          <w:rFonts w:ascii="Itau Display" w:hAnsi="Itau Display"/>
        </w:rPr>
        <w:t xml:space="preserve"> correto o entendimento de que as certidões fiscais e demais documentos exigidos para habilitação deverão se referir ao Município sede do licitante e ao CNPJ do futuro contratado, não sendo exigidas certidões da rede de agências no Brasil?</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r>
        <w:rPr>
          <w:rFonts w:ascii="Itau Display" w:hAnsi="Itau Display"/>
          <w:b/>
          <w:bCs/>
        </w:rPr>
        <w:lastRenderedPageBreak/>
        <w:t>7)</w:t>
      </w:r>
      <w:r>
        <w:t xml:space="preserve"> </w:t>
      </w:r>
      <w:r>
        <w:rPr>
          <w:rFonts w:ascii="Itau Display" w:hAnsi="Itau Display"/>
        </w:rPr>
        <w:t>Nos termos da Lei Federal n. 8.666/93, “Os documentos necessários à habilitação poderão ser apresentados em original, por qualquer processo de cópia autenticada por cartório competente ou por servidor da administração ou publicação em órgão da imprensa oficial” (caput do art. 32).</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Buscando dar maior eficiência, economicidade e agilidade aos processos licitatórios, o normativo prevê que os documentos exigidos nos </w:t>
      </w:r>
      <w:proofErr w:type="spellStart"/>
      <w:r>
        <w:rPr>
          <w:rFonts w:ascii="Itau Display" w:hAnsi="Itau Display"/>
        </w:rPr>
        <w:t>arts</w:t>
      </w:r>
      <w:proofErr w:type="spellEnd"/>
      <w:r>
        <w:rPr>
          <w:rFonts w:ascii="Itau Display" w:hAnsi="Itau Display"/>
        </w:rPr>
        <w:t>. 28 a 31 (habilitação jurídica, regularidade fiscal e trabalhista, qualificação técnica e econômico-financeira) possam ser substituídos por certificados de registros cadastrais. Veja:</w:t>
      </w:r>
    </w:p>
    <w:p w:rsidR="008229D7" w:rsidRDefault="008229D7" w:rsidP="008229D7">
      <w:pPr>
        <w:jc w:val="both"/>
        <w:rPr>
          <w:rFonts w:ascii="Itau Display" w:hAnsi="Itau Display"/>
        </w:rPr>
      </w:pPr>
    </w:p>
    <w:p w:rsidR="008229D7" w:rsidRDefault="008229D7" w:rsidP="008229D7">
      <w:pPr>
        <w:ind w:left="1416"/>
        <w:jc w:val="both"/>
        <w:rPr>
          <w:rFonts w:ascii="Itau Display" w:hAnsi="Itau Display"/>
          <w:i/>
          <w:iCs/>
          <w:sz w:val="18"/>
          <w:szCs w:val="18"/>
        </w:rPr>
      </w:pPr>
      <w:r>
        <w:rPr>
          <w:rFonts w:ascii="Itau Display" w:hAnsi="Itau Display"/>
          <w:i/>
          <w:iCs/>
          <w:sz w:val="18"/>
          <w:szCs w:val="18"/>
        </w:rPr>
        <w:t>“Lei 8.666/93</w:t>
      </w:r>
    </w:p>
    <w:p w:rsidR="008229D7" w:rsidRDefault="008229D7" w:rsidP="008229D7">
      <w:pPr>
        <w:ind w:left="1416"/>
        <w:jc w:val="both"/>
        <w:rPr>
          <w:rFonts w:ascii="Itau Display" w:hAnsi="Itau Display"/>
          <w:i/>
          <w:iCs/>
          <w:sz w:val="18"/>
          <w:szCs w:val="18"/>
        </w:rPr>
      </w:pPr>
      <w:r>
        <w:rPr>
          <w:rFonts w:ascii="Itau Display" w:hAnsi="Itau Display"/>
          <w:i/>
          <w:iCs/>
          <w:sz w:val="18"/>
          <w:szCs w:val="18"/>
        </w:rPr>
        <w:t>Art. 32 (...)</w:t>
      </w:r>
    </w:p>
    <w:p w:rsidR="008229D7" w:rsidRDefault="008229D7" w:rsidP="008229D7">
      <w:pPr>
        <w:ind w:left="1416"/>
        <w:jc w:val="both"/>
        <w:rPr>
          <w:rFonts w:ascii="Itau Display" w:hAnsi="Itau Display"/>
        </w:rPr>
      </w:pPr>
      <w:r>
        <w:rPr>
          <w:rFonts w:ascii="Itau Display" w:hAnsi="Itau Display"/>
          <w:i/>
          <w:iCs/>
          <w:sz w:val="18"/>
          <w:szCs w:val="18"/>
        </w:rPr>
        <w:t xml:space="preserve">§ 2º </w:t>
      </w:r>
      <w:r>
        <w:rPr>
          <w:rFonts w:ascii="Itau Display" w:hAnsi="Itau Display"/>
          <w:i/>
          <w:iCs/>
          <w:sz w:val="18"/>
          <w:szCs w:val="18"/>
          <w:u w:val="single"/>
        </w:rPr>
        <w:t xml:space="preserve">O certificado de registro cadastral a que se refere o § 1º do art. 36 substitui os documentos enumerados nos </w:t>
      </w:r>
      <w:proofErr w:type="spellStart"/>
      <w:r>
        <w:rPr>
          <w:rFonts w:ascii="Itau Display" w:hAnsi="Itau Display"/>
          <w:i/>
          <w:iCs/>
          <w:sz w:val="18"/>
          <w:szCs w:val="18"/>
          <w:u w:val="single"/>
        </w:rPr>
        <w:t>arts</w:t>
      </w:r>
      <w:proofErr w:type="spellEnd"/>
      <w:r>
        <w:rPr>
          <w:rFonts w:ascii="Itau Display" w:hAnsi="Itau Display"/>
          <w:i/>
          <w:iCs/>
          <w:sz w:val="18"/>
          <w:szCs w:val="18"/>
          <w:u w:val="single"/>
        </w:rPr>
        <w:t>. 28 a 31, quanto às informações disponibilizadas em sistema informatizado de consulta direta indicado no edital, obrigando-se a parte a declarar, sob as penalidades legais, a superveniência de fato impeditivo da habilitação</w:t>
      </w:r>
      <w:r>
        <w:rPr>
          <w:rFonts w:ascii="Itau Display" w:hAnsi="Itau Display"/>
          <w:i/>
          <w:iCs/>
          <w:sz w:val="18"/>
          <w:szCs w:val="18"/>
        </w:rPr>
        <w:t>”. (</w:t>
      </w:r>
      <w:proofErr w:type="gramStart"/>
      <w:r>
        <w:rPr>
          <w:rFonts w:ascii="Itau Display" w:hAnsi="Itau Display"/>
          <w:i/>
          <w:iCs/>
          <w:sz w:val="18"/>
          <w:szCs w:val="18"/>
        </w:rPr>
        <w:t>grifo</w:t>
      </w:r>
      <w:proofErr w:type="gramEnd"/>
      <w:r>
        <w:rPr>
          <w:rFonts w:ascii="Itau Display" w:hAnsi="Itau Display"/>
          <w:i/>
          <w:iCs/>
          <w:sz w:val="18"/>
          <w:szCs w:val="18"/>
        </w:rPr>
        <w:t xml:space="preserve"> nosso)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A Lei Federal n. 10.520/2002, lei do Pregão, foi ainda mais pragmática, ao determinar que o SICAF é opção à apresentação daquela enormidade de documentos nos artigos citados da lei 8.666/93:</w:t>
      </w:r>
    </w:p>
    <w:p w:rsidR="008229D7" w:rsidRDefault="008229D7" w:rsidP="008229D7">
      <w:pPr>
        <w:jc w:val="both"/>
        <w:rPr>
          <w:rFonts w:ascii="Itau Display" w:hAnsi="Itau Display"/>
        </w:rPr>
      </w:pPr>
    </w:p>
    <w:p w:rsidR="008229D7" w:rsidRDefault="008229D7" w:rsidP="008229D7">
      <w:pPr>
        <w:ind w:left="1416"/>
        <w:jc w:val="both"/>
        <w:rPr>
          <w:rFonts w:ascii="Itau Display" w:hAnsi="Itau Display"/>
          <w:i/>
          <w:iCs/>
          <w:sz w:val="18"/>
          <w:szCs w:val="18"/>
        </w:rPr>
      </w:pPr>
      <w:r>
        <w:rPr>
          <w:rFonts w:ascii="Itau Display" w:hAnsi="Itau Display"/>
          <w:i/>
          <w:iCs/>
          <w:sz w:val="18"/>
          <w:szCs w:val="18"/>
        </w:rPr>
        <w:t>“Lei 10.520/2002</w:t>
      </w:r>
    </w:p>
    <w:p w:rsidR="008229D7" w:rsidRDefault="008229D7" w:rsidP="008229D7">
      <w:pPr>
        <w:ind w:left="1416"/>
        <w:jc w:val="both"/>
        <w:rPr>
          <w:rFonts w:ascii="Itau Display" w:hAnsi="Itau Display"/>
          <w:i/>
          <w:iCs/>
          <w:sz w:val="18"/>
          <w:szCs w:val="18"/>
        </w:rPr>
      </w:pPr>
      <w:r>
        <w:rPr>
          <w:rFonts w:ascii="Itau Display" w:hAnsi="Itau Display"/>
          <w:i/>
          <w:iCs/>
          <w:sz w:val="18"/>
          <w:szCs w:val="18"/>
        </w:rPr>
        <w:t>Art. 4</w:t>
      </w:r>
      <w:proofErr w:type="gramStart"/>
      <w:r>
        <w:rPr>
          <w:rFonts w:ascii="Itau Display" w:hAnsi="Itau Display"/>
          <w:i/>
          <w:iCs/>
          <w:sz w:val="18"/>
          <w:szCs w:val="18"/>
        </w:rPr>
        <w:t>º  A</w:t>
      </w:r>
      <w:proofErr w:type="gramEnd"/>
      <w:r>
        <w:rPr>
          <w:rFonts w:ascii="Itau Display" w:hAnsi="Itau Display"/>
          <w:i/>
          <w:iCs/>
          <w:sz w:val="18"/>
          <w:szCs w:val="18"/>
        </w:rPr>
        <w:t xml:space="preserve"> fase externa do pregão será iniciada com a convocação dos interessados e observará as seguintes regras:</w:t>
      </w:r>
    </w:p>
    <w:p w:rsidR="008229D7" w:rsidRDefault="008229D7" w:rsidP="008229D7">
      <w:pPr>
        <w:ind w:left="1416"/>
        <w:jc w:val="both"/>
        <w:rPr>
          <w:rFonts w:ascii="Itau Display" w:hAnsi="Itau Display"/>
          <w:i/>
          <w:iCs/>
          <w:sz w:val="18"/>
          <w:szCs w:val="18"/>
        </w:rPr>
      </w:pPr>
      <w:r>
        <w:rPr>
          <w:rFonts w:ascii="Itau Display" w:hAnsi="Itau Display"/>
          <w:i/>
          <w:iCs/>
          <w:sz w:val="18"/>
          <w:szCs w:val="18"/>
        </w:rPr>
        <w:t>(...)</w:t>
      </w:r>
    </w:p>
    <w:p w:rsidR="008229D7" w:rsidRDefault="008229D7" w:rsidP="008229D7">
      <w:pPr>
        <w:ind w:left="1416"/>
        <w:jc w:val="both"/>
        <w:rPr>
          <w:rFonts w:ascii="Itau Display" w:hAnsi="Itau Display"/>
          <w:i/>
          <w:iCs/>
          <w:sz w:val="18"/>
          <w:szCs w:val="18"/>
        </w:rPr>
      </w:pPr>
      <w:r>
        <w:rPr>
          <w:rFonts w:ascii="Itau Display" w:hAnsi="Itau Display"/>
          <w:i/>
          <w:iCs/>
          <w:sz w:val="18"/>
          <w:szCs w:val="18"/>
        </w:rPr>
        <w:t xml:space="preserve">XIV </w:t>
      </w:r>
      <w:r>
        <w:rPr>
          <w:rFonts w:ascii="Itau Display" w:hAnsi="Itau Display"/>
          <w:i/>
          <w:iCs/>
          <w:sz w:val="18"/>
          <w:szCs w:val="18"/>
          <w:u w:val="single"/>
        </w:rPr>
        <w:t xml:space="preserve">- os licitantes poderão deixar de apresentar os documentos de habilitação que já constem do Sistema de Cadastramento Unificado de Fornecedores – </w:t>
      </w:r>
      <w:proofErr w:type="spellStart"/>
      <w:r>
        <w:rPr>
          <w:rFonts w:ascii="Itau Display" w:hAnsi="Itau Display"/>
          <w:i/>
          <w:iCs/>
          <w:sz w:val="18"/>
          <w:szCs w:val="18"/>
          <w:u w:val="single"/>
        </w:rPr>
        <w:t>Sicaf</w:t>
      </w:r>
      <w:proofErr w:type="spellEnd"/>
      <w:r>
        <w:rPr>
          <w:rFonts w:ascii="Itau Display" w:hAnsi="Itau Display"/>
          <w:i/>
          <w:iCs/>
          <w:sz w:val="18"/>
          <w:szCs w:val="18"/>
          <w:u w:val="single"/>
        </w:rPr>
        <w:t xml:space="preserve"> e sistemas semelhantes mantidos por Estados, Distrito Federal ou Municípios</w:t>
      </w:r>
      <w:r>
        <w:rPr>
          <w:rFonts w:ascii="Itau Display" w:hAnsi="Itau Display"/>
          <w:i/>
          <w:iCs/>
          <w:sz w:val="18"/>
          <w:szCs w:val="18"/>
        </w:rPr>
        <w:t>, assegurado aos demais licitantes o direito de acesso aos dados nele constantes”. (</w:t>
      </w:r>
      <w:proofErr w:type="gramStart"/>
      <w:r>
        <w:rPr>
          <w:rFonts w:ascii="Itau Display" w:hAnsi="Itau Display"/>
          <w:i/>
          <w:iCs/>
          <w:sz w:val="18"/>
          <w:szCs w:val="18"/>
        </w:rPr>
        <w:t>grifo</w:t>
      </w:r>
      <w:proofErr w:type="gramEnd"/>
      <w:r>
        <w:rPr>
          <w:rFonts w:ascii="Itau Display" w:hAnsi="Itau Display"/>
          <w:i/>
          <w:iCs/>
          <w:sz w:val="18"/>
          <w:szCs w:val="18"/>
        </w:rPr>
        <w:t xml:space="preserve"> nosso)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Assim, é correto afirmar que os licitantes estarão dispensados de apresentar os documentos exigidos no item 9 e seguintes do Edital, especialmente aqueles cujas informações de validade estejam disponibilizadas no precitado SICAF? </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r>
        <w:rPr>
          <w:rFonts w:ascii="Itau Display" w:hAnsi="Itau Display"/>
          <w:b/>
          <w:bCs/>
        </w:rPr>
        <w:t>INÍCIO DOS SERVIÇOS:</w:t>
      </w:r>
    </w:p>
    <w:p w:rsidR="008229D7" w:rsidRDefault="008229D7" w:rsidP="008229D7">
      <w:pPr>
        <w:jc w:val="both"/>
        <w:rPr>
          <w:rFonts w:ascii="Itau Display" w:hAnsi="Itau Display"/>
        </w:rPr>
      </w:pPr>
      <w:r>
        <w:rPr>
          <w:rFonts w:ascii="Itau Display" w:hAnsi="Itau Display"/>
          <w:b/>
          <w:bCs/>
        </w:rPr>
        <w:t xml:space="preserve">8) </w:t>
      </w:r>
      <w:r>
        <w:rPr>
          <w:rFonts w:ascii="Itau Display" w:hAnsi="Itau Display"/>
        </w:rPr>
        <w:t> O item10.1 do edital e o item 1.16 do termo de referência informam que o banco vencedor do certame inicie a prestação de serviços em até 30 dias corridos da assinatura do contrato.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Considerando que a vencedora do certame seja outra Instituição Financeira e não a Caixa Econômica Federal, e:</w:t>
      </w:r>
    </w:p>
    <w:p w:rsidR="008229D7" w:rsidRDefault="008229D7" w:rsidP="008229D7">
      <w:pPr>
        <w:jc w:val="both"/>
        <w:rPr>
          <w:rFonts w:ascii="Itau Display" w:hAnsi="Itau Display"/>
        </w:rPr>
      </w:pPr>
      <w:r>
        <w:rPr>
          <w:rFonts w:ascii="Itau Display" w:hAnsi="Itau Display"/>
        </w:rPr>
        <w:t xml:space="preserve">- O objeto licitado pressupõe a convocação dos servidores para abertura de suas contas bancárias, com coleta de documentos, preenchimento de formulários </w:t>
      </w:r>
      <w:proofErr w:type="spellStart"/>
      <w:r>
        <w:rPr>
          <w:rFonts w:ascii="Itau Display" w:hAnsi="Itau Display"/>
        </w:rPr>
        <w:t>etc</w:t>
      </w:r>
      <w:proofErr w:type="spellEnd"/>
      <w:r>
        <w:rPr>
          <w:rFonts w:ascii="Itau Display" w:hAnsi="Itau Display"/>
        </w:rPr>
        <w:t>;</w:t>
      </w:r>
    </w:p>
    <w:p w:rsidR="008229D7" w:rsidRDefault="008229D7" w:rsidP="008229D7">
      <w:pPr>
        <w:jc w:val="both"/>
        <w:rPr>
          <w:rFonts w:ascii="Itau Display" w:hAnsi="Itau Display"/>
        </w:rPr>
      </w:pPr>
      <w:r>
        <w:rPr>
          <w:rFonts w:ascii="Itau Display" w:hAnsi="Itau Display"/>
        </w:rPr>
        <w:lastRenderedPageBreak/>
        <w:t>- Podem existir servidores em período de férias ou em gozo de licenças médicas, o que acarretará atraso no processo de abertura de 100% das contas do funcionalismo público;</w:t>
      </w:r>
    </w:p>
    <w:p w:rsidR="008229D7" w:rsidRDefault="008229D7" w:rsidP="008229D7">
      <w:pPr>
        <w:jc w:val="both"/>
        <w:rPr>
          <w:rFonts w:ascii="Itau Display" w:hAnsi="Itau Display"/>
        </w:rPr>
      </w:pPr>
      <w:r>
        <w:rPr>
          <w:rFonts w:ascii="Itau Display" w:hAnsi="Itau Display"/>
        </w:rPr>
        <w:t xml:space="preserve">- Há inativos e pensionistas que podem residir em cidades diferentes de Santo Antonio do Sudoeste; </w:t>
      </w:r>
    </w:p>
    <w:p w:rsidR="008229D7" w:rsidRDefault="008229D7" w:rsidP="008229D7">
      <w:pPr>
        <w:jc w:val="both"/>
        <w:rPr>
          <w:rFonts w:ascii="Itau Display" w:hAnsi="Itau Display"/>
        </w:rPr>
      </w:pPr>
      <w:r>
        <w:rPr>
          <w:rFonts w:ascii="Itau Display" w:hAnsi="Itau Display"/>
        </w:rPr>
        <w:t>- Esta obrigação depende dos próprios servidores/beneficiários, pois, ainda que orientados se estes não comparecerem ao banco não será possível o cumprimento desta obrigação, ou se comparecerem todos juntos num determinado momento será impossível o atendimento sem causar um caos;</w:t>
      </w:r>
    </w:p>
    <w:p w:rsidR="008229D7" w:rsidRDefault="008229D7" w:rsidP="008229D7">
      <w:pPr>
        <w:jc w:val="both"/>
        <w:rPr>
          <w:rFonts w:ascii="Itau Display" w:hAnsi="Itau Display"/>
        </w:rPr>
      </w:pPr>
      <w:r>
        <w:rPr>
          <w:rFonts w:ascii="Itau Display" w:hAnsi="Itau Display"/>
        </w:rPr>
        <w:t>- O processo envolve mais de 700 pessoas, que terão que se deslocar em horário de trabalho para formalização dos contratos de abertura de conta e retirada dos tangíveis (cartões, talonários de cheques etc.) necessários à movimentação das contas;</w:t>
      </w:r>
    </w:p>
    <w:p w:rsidR="008229D7" w:rsidRDefault="008229D7" w:rsidP="008229D7">
      <w:pPr>
        <w:jc w:val="both"/>
        <w:rPr>
          <w:rFonts w:ascii="Itau Display" w:hAnsi="Itau Display"/>
        </w:rPr>
      </w:pPr>
      <w:r>
        <w:rPr>
          <w:rFonts w:ascii="Itau Display" w:hAnsi="Itau Display"/>
        </w:rPr>
        <w:t>- O prazo indicado mostra-se demasiadamente exíguo para que todos possam comparecer ao banco e apresentar documentos para proceder a abertura de suas contas;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Diante destes argumentos, solicitamos que os prazos de abertura de contas e comparecimento dos servidores sejam especificados em conjunto com o banco vencedor através de cronograma, podendo ser desconsiderado o prazo máximo de 30 dias, conforme previsto nos itens 10.1 do edital e o 1.16 do termo de referência.</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9)</w:t>
      </w:r>
      <w:r>
        <w:rPr>
          <w:rFonts w:ascii="Itau Display" w:hAnsi="Itau Display"/>
        </w:rPr>
        <w:t xml:space="preserve"> Caso positivo na pergunta anterior, pedimos a gentileza de retificar a cláusula quarta, em seu parágrafo primeiro da minuta contratual.</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FOLHA DE PAGAMENTO:</w:t>
      </w:r>
    </w:p>
    <w:p w:rsidR="008229D7" w:rsidRDefault="008229D7" w:rsidP="008229D7">
      <w:pPr>
        <w:autoSpaceDE w:val="0"/>
        <w:autoSpaceDN w:val="0"/>
        <w:rPr>
          <w:rFonts w:ascii="Itau Display" w:hAnsi="Itau Display"/>
        </w:rPr>
      </w:pPr>
      <w:r>
        <w:rPr>
          <w:rFonts w:ascii="Itau Display" w:hAnsi="Itau Display"/>
          <w:b/>
          <w:bCs/>
        </w:rPr>
        <w:t>10)</w:t>
      </w:r>
      <w:r>
        <w:rPr>
          <w:rFonts w:ascii="Itau Display" w:hAnsi="Itau Display"/>
        </w:rPr>
        <w:t xml:space="preserve"> Favor apontar a estratificação da folha (com base no </w:t>
      </w:r>
      <w:r>
        <w:rPr>
          <w:rFonts w:ascii="Itau Display" w:hAnsi="Itau Display"/>
          <w:u w:val="single"/>
        </w:rPr>
        <w:t xml:space="preserve">salário </w:t>
      </w:r>
      <w:r>
        <w:rPr>
          <w:rFonts w:ascii="Itau Display" w:hAnsi="Itau Display"/>
          <w:b/>
          <w:bCs/>
          <w:u w:val="single"/>
        </w:rPr>
        <w:t>líquido</w:t>
      </w:r>
      <w:r>
        <w:rPr>
          <w:rFonts w:ascii="Itau Display" w:hAnsi="Itau Display"/>
        </w:rPr>
        <w:t>):</w:t>
      </w:r>
    </w:p>
    <w:p w:rsidR="008229D7" w:rsidRDefault="008229D7" w:rsidP="008229D7">
      <w:pPr>
        <w:autoSpaceDE w:val="0"/>
        <w:autoSpaceDN w:val="0"/>
        <w:rPr>
          <w:rFonts w:ascii="Itau Display" w:hAnsi="Itau Display"/>
        </w:rPr>
      </w:pPr>
    </w:p>
    <w:tbl>
      <w:tblPr>
        <w:tblW w:w="0" w:type="auto"/>
        <w:tblInd w:w="900" w:type="dxa"/>
        <w:tblCellMar>
          <w:left w:w="0" w:type="dxa"/>
          <w:right w:w="0" w:type="dxa"/>
        </w:tblCellMar>
        <w:tblLook w:val="04A0" w:firstRow="1" w:lastRow="0" w:firstColumn="1" w:lastColumn="0" w:noHBand="0" w:noVBand="1"/>
      </w:tblPr>
      <w:tblGrid>
        <w:gridCol w:w="4030"/>
        <w:gridCol w:w="1800"/>
      </w:tblGrid>
      <w:tr w:rsidR="008229D7" w:rsidTr="008229D7">
        <w:trPr>
          <w:trHeight w:val="284"/>
        </w:trPr>
        <w:tc>
          <w:tcPr>
            <w:tcW w:w="403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b/>
                <w:bCs/>
              </w:rPr>
            </w:pPr>
            <w:r>
              <w:rPr>
                <w:rFonts w:ascii="Itau Display" w:hAnsi="Itau Display"/>
                <w:b/>
                <w:bCs/>
              </w:rPr>
              <w:t xml:space="preserve">Faixa Salarial </w:t>
            </w:r>
            <w:r>
              <w:rPr>
                <w:rFonts w:ascii="Itau Display" w:hAnsi="Itau Display"/>
              </w:rPr>
              <w:t>(valor líquido da folha)</w:t>
            </w:r>
          </w:p>
        </w:tc>
        <w:tc>
          <w:tcPr>
            <w:tcW w:w="180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pStyle w:val="Ttulo1"/>
              <w:rPr>
                <w:rFonts w:ascii="Itau Display" w:eastAsia="Times New Roman" w:hAnsi="Itau Display"/>
                <w:sz w:val="22"/>
                <w:szCs w:val="22"/>
                <w:lang w:val="x-none"/>
              </w:rPr>
            </w:pPr>
            <w:r>
              <w:rPr>
                <w:rFonts w:ascii="Itau Display" w:eastAsia="Times New Roman" w:hAnsi="Itau Display"/>
                <w:sz w:val="22"/>
                <w:szCs w:val="22"/>
                <w:lang w:val="x-none"/>
              </w:rPr>
              <w:t>Qtde. Servidores</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Até R$ 800,00</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Entre R$ 800,01 e R$ 1.500,00</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Entre R$ 1.500,01 e R$ 3.000,00</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Entre R$ 3.000,01 e R$ 5.000,00</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Entre R$ 5.000,01 e R$ 10.000,00</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Acima de R$ 10.000,00</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 xml:space="preserve">TOTAL (conforme edital)       </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bl>
    <w:p w:rsidR="008229D7" w:rsidRDefault="008229D7" w:rsidP="008229D7">
      <w:pPr>
        <w:autoSpaceDE w:val="0"/>
        <w:autoSpaceDN w:val="0"/>
        <w:rPr>
          <w:rFonts w:ascii="Itau Display" w:hAnsi="Itau Display" w:cs="Calibri"/>
          <w:b/>
          <w:bCs/>
        </w:rPr>
      </w:pPr>
    </w:p>
    <w:p w:rsidR="008229D7" w:rsidRDefault="008229D7" w:rsidP="008229D7">
      <w:pPr>
        <w:autoSpaceDE w:val="0"/>
        <w:autoSpaceDN w:val="0"/>
        <w:rPr>
          <w:rFonts w:ascii="Itau Display" w:hAnsi="Itau Display"/>
        </w:rPr>
      </w:pPr>
      <w:r>
        <w:rPr>
          <w:rFonts w:ascii="Itau Display" w:hAnsi="Itau Display"/>
          <w:b/>
          <w:bCs/>
        </w:rPr>
        <w:t xml:space="preserve">11)  </w:t>
      </w:r>
      <w:r>
        <w:rPr>
          <w:rFonts w:ascii="Itau Display" w:hAnsi="Itau Display"/>
        </w:rPr>
        <w:t>Favor apontar o vínculo empregatício dos servidores com a Prefeitura, da seguinte forma:</w:t>
      </w:r>
    </w:p>
    <w:p w:rsidR="008229D7" w:rsidRDefault="008229D7" w:rsidP="008229D7">
      <w:pPr>
        <w:autoSpaceDE w:val="0"/>
        <w:autoSpaceDN w:val="0"/>
        <w:rPr>
          <w:rFonts w:ascii="Itau Display" w:hAnsi="Itau Display"/>
        </w:rPr>
      </w:pPr>
    </w:p>
    <w:tbl>
      <w:tblPr>
        <w:tblW w:w="0" w:type="auto"/>
        <w:tblInd w:w="900" w:type="dxa"/>
        <w:tblCellMar>
          <w:left w:w="0" w:type="dxa"/>
          <w:right w:w="0" w:type="dxa"/>
        </w:tblCellMar>
        <w:tblLook w:val="04A0" w:firstRow="1" w:lastRow="0" w:firstColumn="1" w:lastColumn="0" w:noHBand="0" w:noVBand="1"/>
      </w:tblPr>
      <w:tblGrid>
        <w:gridCol w:w="4390"/>
        <w:gridCol w:w="1800"/>
      </w:tblGrid>
      <w:tr w:rsidR="008229D7" w:rsidTr="008229D7">
        <w:trPr>
          <w:trHeight w:val="284"/>
        </w:trPr>
        <w:tc>
          <w:tcPr>
            <w:tcW w:w="439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b/>
                <w:bCs/>
              </w:rPr>
            </w:pPr>
            <w:r>
              <w:rPr>
                <w:rFonts w:ascii="Itau Display" w:hAnsi="Itau Display"/>
                <w:b/>
                <w:bCs/>
              </w:rPr>
              <w:lastRenderedPageBreak/>
              <w:t>Vínculo</w:t>
            </w:r>
          </w:p>
        </w:tc>
        <w:tc>
          <w:tcPr>
            <w:tcW w:w="180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pStyle w:val="Ttulo1"/>
              <w:rPr>
                <w:rFonts w:ascii="Itau Display" w:eastAsia="Times New Roman" w:hAnsi="Itau Display"/>
                <w:sz w:val="22"/>
                <w:szCs w:val="22"/>
                <w:lang w:val="x-none"/>
              </w:rPr>
            </w:pPr>
            <w:r>
              <w:rPr>
                <w:rFonts w:ascii="Itau Display" w:eastAsia="Times New Roman" w:hAnsi="Itau Display"/>
                <w:sz w:val="22"/>
                <w:szCs w:val="22"/>
                <w:lang w:val="x-none"/>
              </w:rPr>
              <w:t>Qtde. Servidores</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Estatutários (ativos)</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Celetistas (ativos)</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Comissionados c/ estabilidade (ativos)</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Comissionados s/ estabilidade (ativos)</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Estagiários (ativos)</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Temporários (ativos)</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Aposentados (</w:t>
            </w:r>
            <w:r>
              <w:rPr>
                <w:rFonts w:ascii="Itau Display" w:hAnsi="Itau Display"/>
                <w:u w:val="single"/>
              </w:rPr>
              <w:t>se incluídos na licitação)</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Pensionistas (</w:t>
            </w:r>
            <w:r>
              <w:rPr>
                <w:rFonts w:ascii="Itau Display" w:hAnsi="Itau Display"/>
                <w:u w:val="single"/>
              </w:rPr>
              <w:t>se incluídos na licitação</w:t>
            </w:r>
            <w:r>
              <w:rPr>
                <w:rFonts w:ascii="Itau Display" w:hAnsi="Itau Display"/>
              </w:rPr>
              <w:t>)</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Outros (favor especificar)</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autoSpaceDE w:val="0"/>
              <w:autoSpaceDN w:val="0"/>
              <w:rPr>
                <w:rFonts w:ascii="Itau Display" w:hAnsi="Itau Display"/>
              </w:rPr>
            </w:pPr>
            <w:r>
              <w:rPr>
                <w:rFonts w:ascii="Itau Display" w:hAnsi="Itau Display"/>
              </w:rPr>
              <w:t>TOTAL (conforme edital)</w:t>
            </w:r>
          </w:p>
        </w:tc>
        <w:tc>
          <w:tcPr>
            <w:tcW w:w="1800" w:type="dxa"/>
            <w:tcBorders>
              <w:top w:val="nil"/>
              <w:left w:val="nil"/>
              <w:bottom w:val="single" w:sz="8" w:space="0" w:color="auto"/>
              <w:right w:val="nil"/>
            </w:tcBorders>
            <w:tcMar>
              <w:top w:w="0" w:type="dxa"/>
              <w:left w:w="70" w:type="dxa"/>
              <w:bottom w:w="0" w:type="dxa"/>
              <w:right w:w="70" w:type="dxa"/>
            </w:tcMar>
            <w:vAlign w:val="center"/>
          </w:tcPr>
          <w:p w:rsidR="008229D7" w:rsidRDefault="008229D7">
            <w:pPr>
              <w:autoSpaceDE w:val="0"/>
              <w:autoSpaceDN w:val="0"/>
              <w:jc w:val="right"/>
              <w:rPr>
                <w:rFonts w:ascii="Itau Display" w:hAnsi="Itau Display"/>
              </w:rPr>
            </w:pPr>
          </w:p>
        </w:tc>
      </w:tr>
    </w:tbl>
    <w:p w:rsidR="008229D7" w:rsidRDefault="008229D7" w:rsidP="008229D7">
      <w:pPr>
        <w:jc w:val="both"/>
        <w:rPr>
          <w:rFonts w:ascii="Itau Display" w:hAnsi="Itau Display" w:cs="Calibri"/>
        </w:rPr>
      </w:pPr>
    </w:p>
    <w:p w:rsidR="008229D7" w:rsidRDefault="008229D7" w:rsidP="008229D7">
      <w:pPr>
        <w:jc w:val="both"/>
        <w:rPr>
          <w:rFonts w:ascii="Itau Display" w:hAnsi="Itau Display"/>
        </w:rPr>
      </w:pPr>
      <w:r>
        <w:rPr>
          <w:rFonts w:ascii="Itau Display" w:hAnsi="Itau Display"/>
          <w:b/>
          <w:bCs/>
        </w:rPr>
        <w:t xml:space="preserve">12) </w:t>
      </w:r>
      <w:r>
        <w:rPr>
          <w:rFonts w:ascii="Itau Display" w:hAnsi="Itau Display"/>
        </w:rPr>
        <w:t>O número de servidores previsto no edital corresponde a matrículas (funcionais/pagamentos) ou a pessoas (</w:t>
      </w:r>
      <w:proofErr w:type="spellStart"/>
      <w:r>
        <w:rPr>
          <w:rFonts w:ascii="Itau Display" w:hAnsi="Itau Display"/>
        </w:rPr>
        <w:t>CPF’s</w:t>
      </w:r>
      <w:proofErr w:type="spellEnd"/>
      <w:r>
        <w:rPr>
          <w:rFonts w:ascii="Itau Display" w:hAnsi="Itau Display"/>
        </w:rPr>
        <w:t>)? Caso se refira a matrículas, qual o número de pessoas/</w:t>
      </w:r>
      <w:proofErr w:type="spellStart"/>
      <w:r>
        <w:rPr>
          <w:rFonts w:ascii="Itau Display" w:hAnsi="Itau Display"/>
        </w:rPr>
        <w:t>CPF’s</w:t>
      </w:r>
      <w:proofErr w:type="spellEnd"/>
      <w:r>
        <w:rPr>
          <w:rFonts w:ascii="Itau Display" w:hAnsi="Itau Display"/>
        </w:rPr>
        <w:t>?</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DA PROPOSTA:</w:t>
      </w:r>
    </w:p>
    <w:p w:rsidR="008229D7" w:rsidRDefault="008229D7" w:rsidP="008229D7">
      <w:pPr>
        <w:jc w:val="both"/>
        <w:rPr>
          <w:rFonts w:ascii="Itau Display" w:hAnsi="Itau Display"/>
        </w:rPr>
      </w:pPr>
      <w:r>
        <w:rPr>
          <w:rFonts w:ascii="Itau Display" w:hAnsi="Itau Display"/>
          <w:b/>
          <w:bCs/>
        </w:rPr>
        <w:t xml:space="preserve">13) </w:t>
      </w:r>
      <w:r>
        <w:rPr>
          <w:rFonts w:ascii="Itau Display" w:hAnsi="Itau Display"/>
        </w:rPr>
        <w:t>O item 7.1 do edital exige que, além da entrega física da ‘Proposta de Preço</w:t>
      </w:r>
      <w:proofErr w:type="gramStart"/>
      <w:r>
        <w:rPr>
          <w:rFonts w:ascii="Itau Display" w:hAnsi="Itau Display"/>
        </w:rPr>
        <w:t>’ ,</w:t>
      </w:r>
      <w:proofErr w:type="gramEnd"/>
      <w:r>
        <w:rPr>
          <w:rFonts w:ascii="Itau Display" w:hAnsi="Itau Display"/>
        </w:rPr>
        <w:t xml:space="preserve"> será necessária a entrega da proposta gravada em CD ou Pen Drive.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Ocorre que, por motivos de segurança, não é possível gravar este tipo de mídia nos computadores desta Instituição, e, ao executar tal procedimento em um computador externo fica comprometido o sigilo de dados internos. Além disto, tal previsão não encontra respaldo na Lei 10.520/02.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Diante disto, bastará a entrega da Proposta de Preço nos termos do modelo disponibilizado no edital em envelope lacrado, sendo as demais orientações (CD/ Pen Drive/ DVD, Anexo Complementar impresso) facultativas?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proofErr w:type="gramStart"/>
      <w:r>
        <w:rPr>
          <w:rFonts w:ascii="Itau Display" w:hAnsi="Itau Display"/>
          <w:b/>
          <w:bCs/>
        </w:rPr>
        <w:t>14)</w:t>
      </w:r>
      <w:r>
        <w:rPr>
          <w:rFonts w:ascii="Itau Display" w:hAnsi="Itau Display"/>
        </w:rPr>
        <w:t xml:space="preserve"> No</w:t>
      </w:r>
      <w:proofErr w:type="gramEnd"/>
      <w:r>
        <w:rPr>
          <w:rFonts w:ascii="Itau Display" w:hAnsi="Itau Display"/>
        </w:rPr>
        <w:t xml:space="preserve"> mesmo sentido da pergunta anterior, o item 7.1.1 também poderá ser dispensado?</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BLOQUEIO/DESBLOQUEIO DE PAGAMENTOS:</w:t>
      </w:r>
    </w:p>
    <w:p w:rsidR="008229D7" w:rsidRDefault="008229D7" w:rsidP="008229D7">
      <w:pPr>
        <w:jc w:val="both"/>
        <w:rPr>
          <w:rFonts w:ascii="Itau Display" w:hAnsi="Itau Display"/>
        </w:rPr>
      </w:pPr>
      <w:r>
        <w:rPr>
          <w:rFonts w:ascii="Itau Display" w:hAnsi="Itau Display"/>
          <w:b/>
          <w:bCs/>
        </w:rPr>
        <w:t>15)</w:t>
      </w:r>
      <w:r>
        <w:rPr>
          <w:rFonts w:ascii="Itau Display" w:hAnsi="Itau Display"/>
        </w:rPr>
        <w:t xml:space="preserve"> O item 1.29 do termo de referência trata do assunto “bloqueio e desbloqueio de créditos”.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lastRenderedPageBreak/>
        <w:t>Como é sabido, efetuado o crédito na conta corrente do cliente, tal recurso passa a ser propriedade do mesmo, não cabendo ao Banco (ou terceiros, ainda que seja o órgão pagador) reivindicar seu estorno/bloqueio, salvo com autorização prévia e expressa do correntista.</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Este entendimento já foi, inclusive, manifestado pelo Superior Tribunal de Justiça (Recurso Especial n. 130.284 - Relator Min. Waldemar Zveiter).</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A Resolução BACEN n. 3.695/09 (art. 3º) veda às Instituições Financeiras a realização de débitos em contas correntes sem prévia autorização do cliente. </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Assim, devemos interpretar dos itens do Edital que eventuais restituições ""bloqueios"" ou ""desbloqueios"" ocorrerão antes do repasse às contas correntes dos servidores?</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r>
        <w:rPr>
          <w:rFonts w:ascii="Itau Display" w:hAnsi="Itau Display"/>
          <w:b/>
          <w:bCs/>
        </w:rPr>
        <w:t>ISENÇÃO DE TARIFA PJ:</w:t>
      </w:r>
    </w:p>
    <w:p w:rsidR="008229D7" w:rsidRDefault="008229D7" w:rsidP="008229D7">
      <w:pPr>
        <w:jc w:val="both"/>
        <w:rPr>
          <w:rFonts w:ascii="Itau Display" w:hAnsi="Itau Display"/>
        </w:rPr>
      </w:pPr>
      <w:r>
        <w:rPr>
          <w:rFonts w:ascii="Itau Display" w:hAnsi="Itau Display"/>
          <w:b/>
          <w:bCs/>
        </w:rPr>
        <w:t>16)</w:t>
      </w:r>
      <w:r>
        <w:t xml:space="preserve"> </w:t>
      </w:r>
      <w:r>
        <w:rPr>
          <w:rFonts w:ascii="Itau Display" w:hAnsi="Itau Display"/>
        </w:rPr>
        <w:t>Está correto o entendimento de que o serviço de processamento e liquidação da folha do funcionalismo público municipal dar-se-á por meio de crédito em conta bancária de titularidade dos respectivos beneficiários e que, portanto, a isenção de cobrança de tarifas para o Município restringe-se a esta hipótese de prestação de serviço, não abrangendo outras formas e/ou serviços correlatos (p.ex.: fechamento de câmbio, arrecadação de tributos, serviços esses disciplinados por contratos específicos)?</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FLOATING:</w:t>
      </w:r>
    </w:p>
    <w:p w:rsidR="008229D7" w:rsidRDefault="008229D7" w:rsidP="008229D7">
      <w:pPr>
        <w:jc w:val="both"/>
        <w:rPr>
          <w:rFonts w:ascii="Itau Display" w:hAnsi="Itau Display"/>
        </w:rPr>
      </w:pPr>
      <w:r>
        <w:rPr>
          <w:rFonts w:ascii="Itau Display" w:hAnsi="Itau Display"/>
          <w:b/>
          <w:bCs/>
        </w:rPr>
        <w:t>17)</w:t>
      </w:r>
      <w:r>
        <w:rPr>
          <w:rFonts w:ascii="Itau Display" w:hAnsi="Itau Display"/>
        </w:rPr>
        <w:t xml:space="preserve"> O edital de pregão nº 74/2019 não prevê em que momento a Prefeitura irá disponibilizar os recursos financeiros ao banco vencedor para que os valores sejam creditados aos servidores, seja na própria instituição contratada, seja na indicada pela regra da portabilidade.</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A prática adotada pelo mercado é de pelo menos 1 (um) dia útil de antecedência, para que sejam realizados testes e simulações para a execução do “arquivo de pagamento”.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Assim, solicitamos confirmar o entendimento de que a Prefeitura repassará ao contratado os recursos necessários ao processamento da folha com, pelo menos, 1 dia útil de antecedência da data determinada para crédito nas contas salários dos servidores?</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b/>
          <w:bCs/>
        </w:rPr>
        <w:t>DA RECISÃO:</w:t>
      </w:r>
    </w:p>
    <w:p w:rsidR="008229D7" w:rsidRDefault="008229D7" w:rsidP="008229D7">
      <w:pPr>
        <w:jc w:val="both"/>
        <w:rPr>
          <w:rFonts w:ascii="Itau Display" w:hAnsi="Itau Display"/>
        </w:rPr>
      </w:pPr>
      <w:r>
        <w:rPr>
          <w:rFonts w:ascii="Itau Display" w:hAnsi="Itau Display"/>
          <w:b/>
          <w:bCs/>
        </w:rPr>
        <w:t xml:space="preserve">18) </w:t>
      </w:r>
      <w:r>
        <w:rPr>
          <w:rFonts w:ascii="Itau Display" w:hAnsi="Itau Display"/>
        </w:rPr>
        <w:t xml:space="preserve">Diante do princípio da estrita legalidade e da segurança jurídica, pedimos confirmar o entendimento de que as hipóteses de extinção/rescisão serão exclusivamente as elencadas no rol taxativo do art. 78 e seus incisos da Lei 8.666/93? </w:t>
      </w:r>
    </w:p>
    <w:p w:rsidR="008229D7" w:rsidRDefault="008229D7" w:rsidP="008229D7">
      <w:pPr>
        <w:jc w:val="both"/>
        <w:rPr>
          <w:rFonts w:ascii="Itau Display" w:hAnsi="Itau Display"/>
          <w:b/>
          <w:bCs/>
        </w:rPr>
      </w:pPr>
    </w:p>
    <w:p w:rsidR="008229D7" w:rsidRDefault="008229D7" w:rsidP="008229D7">
      <w:pPr>
        <w:jc w:val="both"/>
        <w:rPr>
          <w:rFonts w:ascii="Itau Display" w:hAnsi="Itau Display"/>
          <w:b/>
          <w:bCs/>
        </w:rPr>
      </w:pPr>
      <w:r>
        <w:rPr>
          <w:rFonts w:ascii="Itau Display" w:hAnsi="Itau Display"/>
          <w:b/>
          <w:bCs/>
        </w:rPr>
        <w:t>DEMAIS QUESTIONAMENTOS:</w:t>
      </w:r>
    </w:p>
    <w:p w:rsidR="008229D7" w:rsidRDefault="008229D7" w:rsidP="008229D7">
      <w:pPr>
        <w:jc w:val="both"/>
        <w:rPr>
          <w:rFonts w:ascii="Itau Display" w:hAnsi="Itau Display"/>
        </w:rPr>
      </w:pPr>
      <w:r>
        <w:rPr>
          <w:rFonts w:ascii="Itau Display" w:hAnsi="Itau Display"/>
          <w:b/>
          <w:bCs/>
        </w:rPr>
        <w:lastRenderedPageBreak/>
        <w:t xml:space="preserve">19) </w:t>
      </w:r>
      <w:r>
        <w:rPr>
          <w:rFonts w:ascii="Itau Display" w:hAnsi="Itau Display"/>
        </w:rPr>
        <w:t>O item 1.47 e seus subitens do termo de referência fazem menção a entrega de materiais.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Ocorre que o objeto do pregão nº 74/2019 refere-se ao gerenciamento e processamento da folha dos servidores de Santo Antonio do Sudoeste.</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Sendo assim, solicitamos a exclusão dos referidos itens e seus subitens.</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19.1</w:t>
      </w:r>
      <w:proofErr w:type="gramStart"/>
      <w:r>
        <w:rPr>
          <w:rFonts w:ascii="Itau Display" w:hAnsi="Itau Display"/>
          <w:b/>
          <w:bCs/>
        </w:rPr>
        <w:t>)</w:t>
      </w:r>
      <w:r>
        <w:rPr>
          <w:rFonts w:ascii="Itau Display" w:hAnsi="Itau Display"/>
        </w:rPr>
        <w:t xml:space="preserve"> Caso</w:t>
      </w:r>
      <w:proofErr w:type="gramEnd"/>
      <w:r>
        <w:rPr>
          <w:rFonts w:ascii="Itau Display" w:hAnsi="Itau Display"/>
        </w:rPr>
        <w:t xml:space="preserve"> positivo na pergunta anterior, solicitamos a exclusão do item 1.47 e seus subitens da cláusula primeira da minuta contratual.</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r>
        <w:rPr>
          <w:rFonts w:ascii="Itau Display" w:hAnsi="Itau Display"/>
          <w:b/>
          <w:bCs/>
        </w:rPr>
        <w:t>20)</w:t>
      </w:r>
      <w:r>
        <w:rPr>
          <w:rFonts w:ascii="Itau Display" w:hAnsi="Itau Display"/>
        </w:rPr>
        <w:t xml:space="preserve"> A cláusula quinta da minuta contratual em seu parágrafo primeiro menciona que a Prefeitura irá efetuar o pagamento ajustado.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Ocorre que o edital de pregão nº 74/2019 traz a lógica inversa, ou seja, a Instituição Financeira vencedora do certame que irá efetuar o pagamento para a Prefeitura. Sendo assim solicitamos a retificação do mesmo.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b/>
          <w:bCs/>
        </w:rPr>
        <w:t>21)</w:t>
      </w:r>
      <w:r>
        <w:rPr>
          <w:rFonts w:ascii="Itau Display" w:hAnsi="Itau Display"/>
        </w:rPr>
        <w:t xml:space="preserve"> O item 1.28 do termo de referência prevê que a instituição financeira vencedora do certame garanta que no dia do pagamento, um milhão de reais em espécie.</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Ocorre que para o bom funcionamento de uma agência bancária já é feito uma previsão de valores para atendimento diário, ademais os clientes/servidores não necessariamente retiram o valor de suas contas em dia de pagamento.</w:t>
      </w:r>
    </w:p>
    <w:p w:rsidR="008229D7" w:rsidRDefault="008229D7" w:rsidP="008229D7">
      <w:pPr>
        <w:jc w:val="both"/>
        <w:rPr>
          <w:rFonts w:ascii="Itau Display" w:hAnsi="Itau Display"/>
        </w:rPr>
      </w:pPr>
    </w:p>
    <w:p w:rsidR="008229D7" w:rsidRDefault="008229D7" w:rsidP="008229D7">
      <w:pPr>
        <w:jc w:val="both"/>
        <w:rPr>
          <w:rFonts w:ascii="Itau Display" w:hAnsi="Itau Display"/>
        </w:rPr>
      </w:pPr>
      <w:r>
        <w:rPr>
          <w:rFonts w:ascii="Itau Display" w:hAnsi="Itau Display"/>
        </w:rPr>
        <w:t>Em alguns casos será efetuada a portabilidade salarial, em outros o servidor poderá optar para pagamento de suas despesas através da conta, ao invés do saque, etc.</w:t>
      </w:r>
    </w:p>
    <w:p w:rsidR="008229D7" w:rsidRDefault="008229D7" w:rsidP="008229D7">
      <w:pPr>
        <w:jc w:val="both"/>
        <w:rPr>
          <w:rFonts w:ascii="Itau Display" w:hAnsi="Itau Display"/>
        </w:rPr>
      </w:pPr>
    </w:p>
    <w:p w:rsidR="008229D7" w:rsidRDefault="008229D7" w:rsidP="008229D7">
      <w:pPr>
        <w:jc w:val="both"/>
        <w:rPr>
          <w:rFonts w:ascii="Itau Display" w:hAnsi="Itau Display"/>
          <w:b/>
          <w:bCs/>
        </w:rPr>
      </w:pPr>
      <w:r>
        <w:rPr>
          <w:rFonts w:ascii="Itau Display" w:hAnsi="Itau Display"/>
        </w:rPr>
        <w:t>Diante do exposto, pedimos a exclusão do referido item do termo de referência e da minuta contratual.</w:t>
      </w:r>
    </w:p>
    <w:p w:rsidR="008229D7" w:rsidRDefault="008229D7" w:rsidP="008229D7">
      <w:pPr>
        <w:jc w:val="both"/>
        <w:rPr>
          <w:rFonts w:ascii="Itau Display" w:hAnsi="Itau Display"/>
          <w:b/>
          <w:bCs/>
        </w:rPr>
      </w:pPr>
    </w:p>
    <w:p w:rsidR="008229D7" w:rsidRDefault="008229D7" w:rsidP="008229D7">
      <w:pPr>
        <w:jc w:val="both"/>
        <w:rPr>
          <w:rFonts w:ascii="Itau Display" w:hAnsi="Itau Display"/>
        </w:rPr>
      </w:pPr>
      <w:r>
        <w:rPr>
          <w:rFonts w:ascii="Itau Display" w:hAnsi="Itau Display"/>
          <w:b/>
          <w:bCs/>
        </w:rPr>
        <w:t xml:space="preserve">22) </w:t>
      </w:r>
      <w:r>
        <w:rPr>
          <w:rFonts w:ascii="Itau Display" w:hAnsi="Itau Display"/>
        </w:rPr>
        <w:t>Alguns dos questionamentos formulados acima interferem na interpretação e/ou redação aos citados itens do edital. Visto que tais obrigações também se encontram dispostas na minuta contratual, é correto afirmar que as respostas que impliquem em modificação ou exclusão do previsto no edital serão também aplicadas para a minuta contratual.</w:t>
      </w:r>
    </w:p>
    <w:p w:rsidR="008229D7" w:rsidRDefault="008229D7" w:rsidP="008229D7">
      <w:pPr>
        <w:jc w:val="both"/>
        <w:rPr>
          <w:rFonts w:ascii="Itau Display" w:hAnsi="Itau Display"/>
        </w:rPr>
      </w:pPr>
    </w:p>
    <w:p w:rsidR="008229D7" w:rsidRDefault="008229D7" w:rsidP="008229D7">
      <w:pPr>
        <w:autoSpaceDE w:val="0"/>
        <w:autoSpaceDN w:val="0"/>
        <w:jc w:val="both"/>
        <w:rPr>
          <w:rFonts w:ascii="Itau Display" w:hAnsi="Itau Display"/>
          <w:lang w:eastAsia="x-none"/>
        </w:rPr>
      </w:pPr>
      <w:r>
        <w:rPr>
          <w:rFonts w:ascii="Itau Display" w:hAnsi="Itau Display"/>
          <w:b/>
          <w:bCs/>
        </w:rPr>
        <w:t xml:space="preserve">23) </w:t>
      </w:r>
      <w:r>
        <w:rPr>
          <w:rFonts w:ascii="Itau Display" w:hAnsi="Itau Display"/>
          <w:lang w:eastAsia="x-none"/>
        </w:rPr>
        <w:t>A referida licitação e seu respectivo edital foram publicados, com, pelo menos, 08 (oito) dias úteis de antecedência da data de abertura dos envelopes, respeitando o prazo legal previsto no art. 4º, inciso V da Lei 10.520/02?</w:t>
      </w:r>
    </w:p>
    <w:p w:rsidR="008229D7" w:rsidRDefault="008229D7" w:rsidP="008229D7">
      <w:pPr>
        <w:autoSpaceDE w:val="0"/>
        <w:autoSpaceDN w:val="0"/>
        <w:jc w:val="both"/>
        <w:rPr>
          <w:rFonts w:ascii="Itau Display" w:hAnsi="Itau Display"/>
          <w:b/>
          <w:bCs/>
          <w:lang w:eastAsia="pt-BR"/>
        </w:rPr>
      </w:pPr>
    </w:p>
    <w:p w:rsidR="008229D7" w:rsidRDefault="008229D7" w:rsidP="008229D7">
      <w:pPr>
        <w:autoSpaceDE w:val="0"/>
        <w:autoSpaceDN w:val="0"/>
        <w:jc w:val="both"/>
        <w:rPr>
          <w:rFonts w:ascii="Itau Display" w:hAnsi="Itau Display"/>
        </w:rPr>
      </w:pPr>
      <w:proofErr w:type="gramStart"/>
      <w:r>
        <w:rPr>
          <w:rFonts w:ascii="Itau Display" w:hAnsi="Itau Display"/>
          <w:b/>
          <w:bCs/>
        </w:rPr>
        <w:t xml:space="preserve">24) </w:t>
      </w:r>
      <w:r>
        <w:rPr>
          <w:rFonts w:ascii="Itau Display" w:hAnsi="Itau Display"/>
        </w:rPr>
        <w:t>Houve</w:t>
      </w:r>
      <w:proofErr w:type="gramEnd"/>
      <w:r>
        <w:rPr>
          <w:rFonts w:ascii="Itau Display" w:hAnsi="Itau Display"/>
        </w:rPr>
        <w:t xml:space="preserve"> alguma alteração/aditamento ao Edital após sua publicação? Em caso positivo, solicitamos disponibilizar cópia para consulta.</w:t>
      </w:r>
    </w:p>
    <w:p w:rsidR="008229D7" w:rsidRDefault="008229D7" w:rsidP="008229D7">
      <w:pPr>
        <w:autoSpaceDE w:val="0"/>
        <w:autoSpaceDN w:val="0"/>
        <w:jc w:val="both"/>
        <w:rPr>
          <w:rFonts w:ascii="Itau Display" w:hAnsi="Itau Display"/>
        </w:rPr>
      </w:pPr>
    </w:p>
    <w:p w:rsidR="008229D7" w:rsidRDefault="008229D7" w:rsidP="008229D7">
      <w:pPr>
        <w:autoSpaceDE w:val="0"/>
        <w:autoSpaceDN w:val="0"/>
        <w:jc w:val="both"/>
        <w:rPr>
          <w:rFonts w:ascii="Itau Display" w:hAnsi="Itau Display"/>
        </w:rPr>
      </w:pPr>
      <w:proofErr w:type="gramStart"/>
      <w:r>
        <w:rPr>
          <w:rFonts w:ascii="Itau Display" w:hAnsi="Itau Display"/>
          <w:b/>
          <w:bCs/>
        </w:rPr>
        <w:t xml:space="preserve">25) </w:t>
      </w:r>
      <w:r>
        <w:rPr>
          <w:rFonts w:ascii="Itau Display" w:hAnsi="Itau Display"/>
        </w:rPr>
        <w:t>Houve</w:t>
      </w:r>
      <w:proofErr w:type="gramEnd"/>
      <w:r>
        <w:rPr>
          <w:rFonts w:ascii="Itau Display" w:hAnsi="Itau Display"/>
        </w:rPr>
        <w:t xml:space="preserve"> apresentação de impugnação e/ou pedido de esclarecimentos por algum interessado? Em caso positivo, solicitamos disponibilizar cópia para consulta.</w:t>
      </w:r>
    </w:p>
    <w:p w:rsidR="008229D7" w:rsidRDefault="008229D7" w:rsidP="008229D7">
      <w:pPr>
        <w:autoSpaceDE w:val="0"/>
        <w:autoSpaceDN w:val="0"/>
        <w:jc w:val="both"/>
        <w:rPr>
          <w:rFonts w:ascii="Itau Display" w:hAnsi="Itau Display"/>
        </w:rPr>
      </w:pPr>
    </w:p>
    <w:p w:rsidR="008229D7" w:rsidRDefault="008229D7" w:rsidP="008229D7">
      <w:pPr>
        <w:jc w:val="both"/>
        <w:rPr>
          <w:rFonts w:ascii="Itau Display" w:hAnsi="Itau Display"/>
        </w:rPr>
      </w:pPr>
      <w:r>
        <w:rPr>
          <w:rFonts w:ascii="Itau Display" w:hAnsi="Itau Display"/>
        </w:rPr>
        <w:t xml:space="preserve">Solicitamos que as respostas sejam encaminhadas para os e-mails: </w:t>
      </w:r>
      <w:hyperlink r:id="rId5" w:history="1">
        <w:r>
          <w:rPr>
            <w:rStyle w:val="Hyperlink"/>
            <w:rFonts w:ascii="Itau Display" w:hAnsi="Itau Display"/>
          </w:rPr>
          <w:t>monica.orosco@itau-unibanco.com.br</w:t>
        </w:r>
      </w:hyperlink>
      <w:r>
        <w:rPr>
          <w:rFonts w:ascii="Itau Display" w:hAnsi="Itau Display"/>
        </w:rPr>
        <w:t xml:space="preserve">, </w:t>
      </w:r>
      <w:hyperlink r:id="rId6" w:history="1">
        <w:r>
          <w:rPr>
            <w:rStyle w:val="Hyperlink"/>
            <w:rFonts w:ascii="Itau Display" w:hAnsi="Itau Display"/>
          </w:rPr>
          <w:t>valeria.limeira.@itau-unibanco.com.br</w:t>
        </w:r>
      </w:hyperlink>
      <w:r>
        <w:rPr>
          <w:rFonts w:ascii="Itau Display" w:hAnsi="Itau Display"/>
        </w:rPr>
        <w:t xml:space="preserve"> e </w:t>
      </w:r>
      <w:hyperlink r:id="rId7" w:history="1">
        <w:r>
          <w:rPr>
            <w:rStyle w:val="Hyperlink"/>
            <w:rFonts w:ascii="Itau Display" w:hAnsi="Itau Display"/>
          </w:rPr>
          <w:t>cladir.kuzma@itau-unibanco.com.br</w:t>
        </w:r>
      </w:hyperlink>
      <w:r>
        <w:rPr>
          <w:rFonts w:ascii="Itau Display" w:hAnsi="Itau Display"/>
          <w:color w:val="002060"/>
        </w:rPr>
        <w:t xml:space="preserve"> </w:t>
      </w:r>
    </w:p>
    <w:p w:rsidR="008229D7" w:rsidRDefault="008229D7" w:rsidP="008229D7">
      <w:pPr>
        <w:autoSpaceDE w:val="0"/>
        <w:autoSpaceDN w:val="0"/>
        <w:jc w:val="both"/>
        <w:rPr>
          <w:rFonts w:ascii="Itau Display" w:hAnsi="Itau Display"/>
        </w:rPr>
      </w:pPr>
      <w:r>
        <w:rPr>
          <w:rFonts w:ascii="Itau Display" w:hAnsi="Itau Display"/>
        </w:rPr>
        <w:t> </w:t>
      </w:r>
    </w:p>
    <w:p w:rsidR="008229D7" w:rsidRDefault="008229D7" w:rsidP="008229D7">
      <w:pPr>
        <w:autoSpaceDE w:val="0"/>
        <w:autoSpaceDN w:val="0"/>
        <w:jc w:val="both"/>
        <w:rPr>
          <w:rFonts w:ascii="Itau Display" w:hAnsi="Itau Display"/>
        </w:rPr>
      </w:pPr>
      <w:r>
        <w:rPr>
          <w:rFonts w:ascii="Itau Display" w:hAnsi="Itau Display"/>
        </w:rPr>
        <w:t xml:space="preserve">Diante do princípio da ampla publicidade da fase externa da licitação, solicitamos que as perguntas aqui formuladas e as respostas a serem fornecidas por </w:t>
      </w:r>
      <w:proofErr w:type="gramStart"/>
      <w:r>
        <w:rPr>
          <w:rFonts w:ascii="Itau Display" w:hAnsi="Itau Display"/>
        </w:rPr>
        <w:t>V.Sas</w:t>
      </w:r>
      <w:proofErr w:type="gramEnd"/>
      <w:r>
        <w:rPr>
          <w:rFonts w:ascii="Itau Display" w:hAnsi="Itau Display"/>
        </w:rPr>
        <w:t xml:space="preserve">. </w:t>
      </w:r>
      <w:proofErr w:type="gramStart"/>
      <w:r>
        <w:rPr>
          <w:rFonts w:ascii="Itau Display" w:hAnsi="Itau Display"/>
        </w:rPr>
        <w:t>sejam</w:t>
      </w:r>
      <w:proofErr w:type="gramEnd"/>
      <w:r>
        <w:rPr>
          <w:rFonts w:ascii="Itau Display" w:hAnsi="Itau Display"/>
        </w:rPr>
        <w:t xml:space="preserve"> disponibilizadas a todos os interessados.</w:t>
      </w:r>
    </w:p>
    <w:p w:rsidR="008229D7" w:rsidRDefault="008229D7" w:rsidP="008229D7">
      <w:pPr>
        <w:autoSpaceDE w:val="0"/>
        <w:autoSpaceDN w:val="0"/>
        <w:jc w:val="both"/>
        <w:rPr>
          <w:rFonts w:ascii="Itau Display" w:hAnsi="Itau Display"/>
        </w:rPr>
      </w:pPr>
    </w:p>
    <w:p w:rsidR="008229D7" w:rsidRDefault="008229D7" w:rsidP="008229D7">
      <w:pPr>
        <w:autoSpaceDE w:val="0"/>
        <w:autoSpaceDN w:val="0"/>
        <w:jc w:val="both"/>
        <w:rPr>
          <w:rFonts w:ascii="Itau Display" w:hAnsi="Itau Display"/>
        </w:rPr>
      </w:pPr>
      <w:r>
        <w:rPr>
          <w:rFonts w:ascii="Itau Display" w:hAnsi="Itau Display"/>
        </w:rPr>
        <w:t>Nossas observações visam oferecer condições de participação ao maior número de empresas, cumprindo, assim, o objetivo do procedimento licitatório, qual seja: propiciar a concorrência, buscando a proposta mais vantajosa para a administração.</w:t>
      </w:r>
    </w:p>
    <w:p w:rsidR="008229D7" w:rsidRDefault="008229D7" w:rsidP="008229D7">
      <w:pPr>
        <w:autoSpaceDE w:val="0"/>
        <w:autoSpaceDN w:val="0"/>
        <w:jc w:val="both"/>
        <w:rPr>
          <w:rFonts w:ascii="Itau Display" w:hAnsi="Itau Display"/>
        </w:rPr>
      </w:pPr>
    </w:p>
    <w:p w:rsidR="008229D7" w:rsidRDefault="008229D7" w:rsidP="008229D7">
      <w:pPr>
        <w:jc w:val="both"/>
        <w:rPr>
          <w:rFonts w:ascii="Itau Display" w:hAnsi="Itau Display"/>
        </w:rPr>
      </w:pPr>
      <w:r>
        <w:rPr>
          <w:rFonts w:ascii="Itau Display" w:hAnsi="Itau Display"/>
        </w:rPr>
        <w:t>Atenciosamente,</w:t>
      </w:r>
    </w:p>
    <w:p w:rsidR="008229D7" w:rsidRDefault="008229D7" w:rsidP="008229D7">
      <w:pPr>
        <w:jc w:val="both"/>
        <w:rPr>
          <w:rFonts w:ascii="Itau Display" w:hAnsi="Itau Display"/>
        </w:rPr>
      </w:pPr>
      <w:r>
        <w:rPr>
          <w:rFonts w:ascii="Itau Display" w:hAnsi="Itau Display"/>
          <w:b/>
          <w:bCs/>
        </w:rPr>
        <w:t>Itaú Unibanco S.A.</w:t>
      </w:r>
    </w:p>
    <w:p w:rsidR="00797005" w:rsidRDefault="00797005"/>
    <w:p w:rsidR="008229D7" w:rsidRPr="008229D7" w:rsidRDefault="008229D7" w:rsidP="008229D7">
      <w:pPr>
        <w:jc w:val="center"/>
        <w:rPr>
          <w:rFonts w:ascii="Bookman Old Style" w:hAnsi="Bookman Old Style"/>
          <w:b/>
          <w:sz w:val="32"/>
          <w:szCs w:val="32"/>
        </w:rPr>
      </w:pPr>
    </w:p>
    <w:p w:rsidR="008229D7" w:rsidRDefault="008229D7" w:rsidP="008229D7">
      <w:pPr>
        <w:jc w:val="center"/>
        <w:rPr>
          <w:rFonts w:ascii="Bookman Old Style" w:hAnsi="Bookman Old Style"/>
          <w:b/>
          <w:sz w:val="32"/>
          <w:szCs w:val="32"/>
        </w:rPr>
      </w:pPr>
      <w:r w:rsidRPr="008229D7">
        <w:rPr>
          <w:rFonts w:ascii="Bookman Old Style" w:hAnsi="Bookman Old Style"/>
          <w:b/>
          <w:sz w:val="32"/>
          <w:szCs w:val="32"/>
        </w:rPr>
        <w:t>Esclarecimentos:</w:t>
      </w:r>
    </w:p>
    <w:p w:rsidR="008229D7" w:rsidRDefault="008229D7" w:rsidP="008229D7">
      <w:pPr>
        <w:jc w:val="center"/>
        <w:rPr>
          <w:rFonts w:ascii="Bookman Old Style" w:hAnsi="Bookman Old Style"/>
          <w:b/>
          <w:sz w:val="32"/>
          <w:szCs w:val="32"/>
        </w:rPr>
      </w:pPr>
    </w:p>
    <w:p w:rsidR="008229D7" w:rsidRDefault="008229D7" w:rsidP="008229D7">
      <w:pPr>
        <w:rPr>
          <w:color w:val="1F497D"/>
        </w:rPr>
      </w:pPr>
      <w:r>
        <w:rPr>
          <w:color w:val="1F497D"/>
        </w:rPr>
        <w:t xml:space="preserve">Prezados senhores, segue </w:t>
      </w:r>
      <w:r>
        <w:rPr>
          <w:color w:val="1F497D"/>
        </w:rPr>
        <w:t>resposta quanto</w:t>
      </w:r>
      <w:r>
        <w:rPr>
          <w:color w:val="1F497D"/>
        </w:rPr>
        <w:t xml:space="preserve"> aos esclarecimentos solicitados: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SITUAÇÃO DO ATUAL PAGADOR DA FOLHA: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1)</w:t>
      </w:r>
      <w:r>
        <w:rPr>
          <w:rFonts w:ascii="Bookman Old Style" w:eastAsia="Times New Roman" w:hAnsi="Bookman Old Style" w:cs="Arial"/>
          <w:color w:val="333333"/>
          <w:sz w:val="21"/>
          <w:szCs w:val="21"/>
          <w:lang w:eastAsia="pt-BR"/>
        </w:rPr>
        <w:t> É</w:t>
      </w:r>
      <w:proofErr w:type="gramEnd"/>
      <w:r>
        <w:rPr>
          <w:rFonts w:ascii="Bookman Old Style" w:eastAsia="Times New Roman" w:hAnsi="Bookman Old Style" w:cs="Arial"/>
          <w:color w:val="333333"/>
          <w:sz w:val="21"/>
          <w:szCs w:val="21"/>
          <w:lang w:eastAsia="pt-BR"/>
        </w:rPr>
        <w:t xml:space="preserve"> sabido que atualmente a folha de pagamento dos funcionários está centralizada na Caixa Econômica Federal e Banco do Brasil. Assim, questionamos: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a) </w:t>
      </w:r>
      <w:r>
        <w:rPr>
          <w:rFonts w:ascii="Bookman Old Style" w:eastAsia="Times New Roman" w:hAnsi="Bookman Old Style" w:cs="Arial"/>
          <w:color w:val="333333"/>
          <w:sz w:val="21"/>
          <w:szCs w:val="21"/>
          <w:lang w:eastAsia="pt-BR"/>
        </w:rPr>
        <w:t>Qual</w:t>
      </w:r>
      <w:proofErr w:type="gramEnd"/>
      <w:r>
        <w:rPr>
          <w:rFonts w:ascii="Bookman Old Style" w:eastAsia="Times New Roman" w:hAnsi="Bookman Old Style" w:cs="Arial"/>
          <w:color w:val="333333"/>
          <w:sz w:val="21"/>
          <w:szCs w:val="21"/>
          <w:lang w:eastAsia="pt-BR"/>
        </w:rPr>
        <w:t xml:space="preserve"> é a data de término do contrato com o atual prestador de serviços?</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Resposta: O contrato com a caixa está vencido a alguns anos já, assim o município não possui contrato com instituições financeiras.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lastRenderedPageBreak/>
        <w:t>b)</w:t>
      </w:r>
      <w:r>
        <w:rPr>
          <w:rFonts w:ascii="Bookman Old Style" w:eastAsia="Times New Roman" w:hAnsi="Bookman Old Style" w:cs="Arial"/>
          <w:color w:val="333333"/>
          <w:sz w:val="21"/>
          <w:szCs w:val="21"/>
          <w:lang w:eastAsia="pt-BR"/>
        </w:rPr>
        <w:t>Tendo</w:t>
      </w:r>
      <w:proofErr w:type="gramEnd"/>
      <w:r>
        <w:rPr>
          <w:rFonts w:ascii="Bookman Old Style" w:eastAsia="Times New Roman" w:hAnsi="Bookman Old Style" w:cs="Arial"/>
          <w:color w:val="333333"/>
          <w:sz w:val="21"/>
          <w:szCs w:val="21"/>
          <w:lang w:eastAsia="pt-BR"/>
        </w:rPr>
        <w:t xml:space="preserve"> em vista a segurança jurídica necessária, uma vez que outra instituição financeira presta serviço do mesmo objeto ora licitado, o vencedor do Pregão será convocado para assinatura apenas após o término do contrato atual?</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bCs/>
          <w:color w:val="333333"/>
          <w:sz w:val="21"/>
          <w:szCs w:val="21"/>
          <w:lang w:eastAsia="pt-BR"/>
        </w:rPr>
        <w:t> </w:t>
      </w:r>
      <w:r>
        <w:rPr>
          <w:rFonts w:ascii="Bookman Old Style" w:eastAsia="Times New Roman" w:hAnsi="Bookman Old Style" w:cs="Arial"/>
          <w:b/>
          <w:color w:val="333333"/>
          <w:sz w:val="21"/>
          <w:szCs w:val="21"/>
          <w:lang w:eastAsia="pt-BR"/>
        </w:rPr>
        <w:t>Resposta: O município não possuindo contrato com instituições financeiras, o contrato com a vencedora será imediato.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c) </w:t>
      </w:r>
      <w:r>
        <w:rPr>
          <w:rFonts w:ascii="Bookman Old Style" w:eastAsia="Times New Roman" w:hAnsi="Bookman Old Style" w:cs="Arial"/>
          <w:color w:val="333333"/>
          <w:sz w:val="21"/>
          <w:szCs w:val="21"/>
          <w:lang w:eastAsia="pt-BR"/>
        </w:rPr>
        <w:t>Caso</w:t>
      </w:r>
      <w:proofErr w:type="gramEnd"/>
      <w:r>
        <w:rPr>
          <w:rFonts w:ascii="Bookman Old Style" w:eastAsia="Times New Roman" w:hAnsi="Bookman Old Style" w:cs="Arial"/>
          <w:color w:val="333333"/>
          <w:sz w:val="21"/>
          <w:szCs w:val="21"/>
          <w:lang w:eastAsia="pt-BR"/>
        </w:rPr>
        <w:t xml:space="preserve"> o contrato assinado antes do término do atual, é correto afirmar que a prestação de serviços (processamento da folha de pagamento), se iniciará após o término da vigência do prestador de serviços atual?</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 xml:space="preserve">Resposta: Como o município não possui contrato com instituições financeiras, o contrato com a vencedora a prestação será </w:t>
      </w:r>
      <w:proofErr w:type="gramStart"/>
      <w:r>
        <w:rPr>
          <w:rFonts w:ascii="Bookman Old Style" w:eastAsia="Times New Roman" w:hAnsi="Bookman Old Style" w:cs="Arial"/>
          <w:b/>
          <w:color w:val="333333"/>
          <w:sz w:val="21"/>
          <w:szCs w:val="21"/>
          <w:lang w:eastAsia="pt-BR"/>
        </w:rPr>
        <w:t>realizada</w:t>
      </w:r>
      <w:proofErr w:type="gramEnd"/>
      <w:r>
        <w:rPr>
          <w:rFonts w:ascii="Bookman Old Style" w:eastAsia="Times New Roman" w:hAnsi="Bookman Old Style" w:cs="Arial"/>
          <w:b/>
          <w:color w:val="333333"/>
          <w:sz w:val="21"/>
          <w:szCs w:val="21"/>
          <w:lang w:eastAsia="pt-BR"/>
        </w:rPr>
        <w:t xml:space="preserve"> de acordo com o edital.</w:t>
      </w:r>
    </w:p>
    <w:p w:rsidR="008229D7" w:rsidRDefault="008229D7" w:rsidP="008229D7">
      <w:pPr>
        <w:spacing w:after="0" w:line="360" w:lineRule="auto"/>
        <w:jc w:val="both"/>
        <w:rPr>
          <w:rFonts w:ascii="Bookman Old Style" w:eastAsia="Times New Roman" w:hAnsi="Bookman Old Style" w:cs="Arial"/>
          <w:b/>
          <w:bCs/>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INATIVOS: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2)</w:t>
      </w:r>
      <w:r>
        <w:rPr>
          <w:rFonts w:ascii="Bookman Old Style" w:eastAsia="Times New Roman" w:hAnsi="Bookman Old Style" w:cs="Arial"/>
          <w:color w:val="333333"/>
          <w:sz w:val="21"/>
          <w:szCs w:val="21"/>
          <w:lang w:eastAsia="pt-BR"/>
        </w:rPr>
        <w:t> O edital prevê o pagamento de inativos (aposentados, pensionista e similares), sendo assim questionamos: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a)</w:t>
      </w:r>
      <w:r>
        <w:rPr>
          <w:rFonts w:ascii="Bookman Old Style" w:eastAsia="Times New Roman" w:hAnsi="Bookman Old Style" w:cs="Arial"/>
          <w:color w:val="333333"/>
          <w:sz w:val="21"/>
          <w:szCs w:val="21"/>
          <w:lang w:eastAsia="pt-BR"/>
        </w:rPr>
        <w:t> Os</w:t>
      </w:r>
      <w:proofErr w:type="gramEnd"/>
      <w:r>
        <w:rPr>
          <w:rFonts w:ascii="Bookman Old Style" w:eastAsia="Times New Roman" w:hAnsi="Bookman Old Style" w:cs="Arial"/>
          <w:color w:val="333333"/>
          <w:sz w:val="21"/>
          <w:szCs w:val="21"/>
          <w:lang w:eastAsia="pt-BR"/>
        </w:rPr>
        <w:t xml:space="preserve"> inativos recebem por algum Instituto/Fundo de Previdência ou são pagos pela própria Prefeitura?</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Resposta: Os inativos e pensionistas são pagos pelo próprio Município.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b)</w:t>
      </w:r>
      <w:r>
        <w:rPr>
          <w:rFonts w:ascii="Bookman Old Style" w:eastAsia="Times New Roman" w:hAnsi="Bookman Old Style" w:cs="Arial"/>
          <w:color w:val="333333"/>
          <w:sz w:val="21"/>
          <w:szCs w:val="21"/>
          <w:lang w:eastAsia="pt-BR"/>
        </w:rPr>
        <w:t> </w:t>
      </w:r>
      <w:r>
        <w:rPr>
          <w:rFonts w:ascii="Bookman Old Style" w:eastAsia="Times New Roman" w:hAnsi="Bookman Old Style" w:cs="Arial"/>
          <w:color w:val="000000"/>
          <w:sz w:val="21"/>
          <w:szCs w:val="21"/>
          <w:lang w:eastAsia="pt-BR"/>
        </w:rPr>
        <w:t>Caso</w:t>
      </w:r>
      <w:proofErr w:type="gramEnd"/>
      <w:r>
        <w:rPr>
          <w:rFonts w:ascii="Bookman Old Style" w:eastAsia="Times New Roman" w:hAnsi="Bookman Old Style" w:cs="Arial"/>
          <w:color w:val="000000"/>
          <w:sz w:val="21"/>
          <w:szCs w:val="21"/>
          <w:lang w:eastAsia="pt-BR"/>
        </w:rPr>
        <w:t xml:space="preserve"> os inativos e pensionistas recebam por Instituto/Fundo de Previdência, o Município de Santo Antonio do Sudoeste obteve autorização prévia e expressa delas para promover a licitação de suas folhas de pagamento? Em caso positivo, favor disponibilizar cópias dos respectivos Convênios/autorizações.</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O Município não possui tal convênio.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c)</w:t>
      </w:r>
      <w:r>
        <w:rPr>
          <w:rFonts w:ascii="Bookman Old Style" w:eastAsia="Times New Roman" w:hAnsi="Bookman Old Style" w:cs="Arial"/>
          <w:color w:val="333333"/>
          <w:sz w:val="21"/>
          <w:szCs w:val="21"/>
          <w:lang w:eastAsia="pt-BR"/>
        </w:rPr>
        <w:t> Caso a Prefeitura não tenha celebrado convênios/autorizações prévias, as entidades da Administração Indireta assinarão o contrato administrativo juntamente com a Prefeitura? Na hipótese de as entidades administrativas não assinarem simultaneamente com o Município, o futuro contratado deverá pagar à Prefeitura apenas o valor proporcional relativamente às folhas que realmente lhe forem transferidas?</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O Município não possui tal convênio.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w:t>
      </w:r>
      <w:r>
        <w:rPr>
          <w:rFonts w:ascii="Bookman Old Style" w:eastAsia="Times New Roman" w:hAnsi="Bookman Old Style" w:cs="Arial"/>
          <w:color w:val="333333"/>
          <w:sz w:val="21"/>
          <w:szCs w:val="21"/>
          <w:lang w:eastAsia="pt-BR"/>
        </w:rPr>
        <w:t> O pagamento da oferta será feito diretamente à Prefeitura ou a cada órgão/ente da Administração, proporcionalmente ao tamanho de sua folha?</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lastRenderedPageBreak/>
        <w:t>  </w:t>
      </w:r>
      <w:r>
        <w:rPr>
          <w:rFonts w:ascii="Bookman Old Style" w:eastAsia="Times New Roman" w:hAnsi="Bookman Old Style" w:cs="Arial"/>
          <w:b/>
          <w:color w:val="333333"/>
          <w:sz w:val="21"/>
          <w:szCs w:val="21"/>
          <w:lang w:eastAsia="pt-BR"/>
        </w:rPr>
        <w:t>Resposta: O pagamento será realizado como rege o edital, em conta informada na celebração do contrato.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e)</w:t>
      </w:r>
      <w:r>
        <w:rPr>
          <w:rFonts w:ascii="Bookman Old Style" w:eastAsia="Times New Roman" w:hAnsi="Bookman Old Style" w:cs="Arial"/>
          <w:color w:val="333333"/>
          <w:sz w:val="21"/>
          <w:szCs w:val="21"/>
          <w:lang w:eastAsia="pt-BR"/>
        </w:rPr>
        <w:t xml:space="preserve"> Favor informar todos os </w:t>
      </w:r>
      <w:proofErr w:type="spellStart"/>
      <w:r>
        <w:rPr>
          <w:rFonts w:ascii="Bookman Old Style" w:eastAsia="Times New Roman" w:hAnsi="Bookman Old Style" w:cs="Arial"/>
          <w:color w:val="333333"/>
          <w:sz w:val="21"/>
          <w:szCs w:val="21"/>
          <w:lang w:eastAsia="pt-BR"/>
        </w:rPr>
        <w:t>CNPJ’s</w:t>
      </w:r>
      <w:proofErr w:type="spellEnd"/>
      <w:r>
        <w:rPr>
          <w:rFonts w:ascii="Bookman Old Style" w:eastAsia="Times New Roman" w:hAnsi="Bookman Old Style" w:cs="Arial"/>
          <w:color w:val="333333"/>
          <w:sz w:val="21"/>
          <w:szCs w:val="21"/>
          <w:lang w:eastAsia="pt-BR"/>
        </w:rPr>
        <w:t xml:space="preserve"> envolvidos no Pregão Presencial nº 171/2019 (inclusive de eventuais Fundos/Institutos de Previdência, empresas terceirizadas, ONGs e assemelhados).</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 xml:space="preserve">Resposta: </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 Município de Santo Antonio do Sudoeste, CNPJ 75.927.582/0001-55</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 Fundo Municipal de Saúde, CNPJ 09.263.736/0001-27</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 Fundo Municipal de Assistência Social, CNPJ 13.609.170/0001-10</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EMPRÉSTIMO CONSIGNADO: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3) </w:t>
      </w:r>
      <w:r>
        <w:rPr>
          <w:rFonts w:ascii="Bookman Old Style" w:eastAsia="Times New Roman" w:hAnsi="Bookman Old Style" w:cs="Arial"/>
          <w:color w:val="333333"/>
          <w:sz w:val="21"/>
          <w:szCs w:val="21"/>
          <w:lang w:eastAsia="pt-BR"/>
        </w:rPr>
        <w:t>O edital prevê a concessão de empréstimo consignado. Sendo assim, seguem as dúvidas sobre o produto: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a) </w:t>
      </w:r>
      <w:r>
        <w:rPr>
          <w:rFonts w:ascii="Bookman Old Style" w:eastAsia="Times New Roman" w:hAnsi="Bookman Old Style" w:cs="Arial"/>
          <w:color w:val="333333"/>
          <w:sz w:val="21"/>
          <w:szCs w:val="21"/>
          <w:lang w:eastAsia="pt-BR"/>
        </w:rPr>
        <w:t>É</w:t>
      </w:r>
      <w:proofErr w:type="gramEnd"/>
      <w:r>
        <w:rPr>
          <w:rFonts w:ascii="Bookman Old Style" w:eastAsia="Times New Roman" w:hAnsi="Bookman Old Style" w:cs="Arial"/>
          <w:color w:val="333333"/>
          <w:sz w:val="21"/>
          <w:szCs w:val="21"/>
          <w:lang w:eastAsia="pt-BR"/>
        </w:rPr>
        <w:t xml:space="preserve"> correto afirmar que o banco vencedor poderá oferecer empréstimos consignados caso tenha interesse, não sendo obrigado a isso, já que esta modalidade de empréstimo por regra do CMN/Bacen é prestada sem exclusividade?</w:t>
      </w:r>
    </w:p>
    <w:p w:rsidR="008229D7" w:rsidRDefault="008229D7" w:rsidP="008229D7">
      <w:pPr>
        <w:pStyle w:val="ParagraphStyle"/>
        <w:tabs>
          <w:tab w:val="left" w:pos="10170"/>
        </w:tabs>
        <w:spacing w:line="276" w:lineRule="auto"/>
        <w:jc w:val="both"/>
        <w:rPr>
          <w:rFonts w:ascii="Times New Roman" w:hAnsi="Times New Roman" w:cs="Times New Roman"/>
          <w:b/>
          <w:szCs w:val="20"/>
        </w:rPr>
      </w:pPr>
      <w:r>
        <w:rPr>
          <w:rFonts w:ascii="Bookman Old Style" w:eastAsia="Times New Roman" w:hAnsi="Bookman Old Style"/>
          <w:color w:val="333333"/>
          <w:sz w:val="21"/>
          <w:szCs w:val="21"/>
        </w:rPr>
        <w:t> </w:t>
      </w:r>
      <w:r>
        <w:rPr>
          <w:rFonts w:ascii="Bookman Old Style" w:eastAsia="Times New Roman" w:hAnsi="Bookman Old Style"/>
          <w:b/>
          <w:color w:val="333333"/>
          <w:sz w:val="21"/>
          <w:szCs w:val="21"/>
        </w:rPr>
        <w:t xml:space="preserve">Resposta: </w:t>
      </w:r>
      <w:r>
        <w:rPr>
          <w:rFonts w:ascii="Bookman Old Style" w:hAnsi="Bookman Old Style" w:cs="Times New Roman"/>
          <w:b/>
          <w:szCs w:val="20"/>
        </w:rPr>
        <w:t>Será concedido à vencedora do certame o direito de preferência, mas não de exclusividade, de disponibilizar aos servidores municipais, empréstimos em consignação, sem a incidência de custos de operacionalização para a Contratante, sem prejuízos dos contratos de consignados já existentes e em vigor atualmente.</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b) </w:t>
      </w:r>
      <w:r>
        <w:rPr>
          <w:rFonts w:ascii="Bookman Old Style" w:eastAsia="Times New Roman" w:hAnsi="Bookman Old Style" w:cs="Arial"/>
          <w:color w:val="333333"/>
          <w:sz w:val="21"/>
          <w:szCs w:val="21"/>
          <w:lang w:eastAsia="pt-BR"/>
        </w:rPr>
        <w:t xml:space="preserve">O </w:t>
      </w:r>
      <w:proofErr w:type="spellStart"/>
      <w:r>
        <w:rPr>
          <w:rFonts w:ascii="Bookman Old Style" w:eastAsia="Times New Roman" w:hAnsi="Bookman Old Style" w:cs="Arial"/>
          <w:color w:val="333333"/>
          <w:sz w:val="21"/>
          <w:szCs w:val="21"/>
          <w:lang w:eastAsia="pt-BR"/>
        </w:rPr>
        <w:t>conveniamento</w:t>
      </w:r>
      <w:proofErr w:type="spellEnd"/>
      <w:r>
        <w:rPr>
          <w:rFonts w:ascii="Bookman Old Style" w:eastAsia="Times New Roman" w:hAnsi="Bookman Old Style" w:cs="Arial"/>
          <w:color w:val="333333"/>
          <w:sz w:val="21"/>
          <w:szCs w:val="21"/>
          <w:lang w:eastAsia="pt-BR"/>
        </w:rPr>
        <w:t xml:space="preserve"> do consignado faz parte do objeto licitado ou sua contratação seguirá regras e procedimentos de processo administrativo próprio e independente ao presente certame?</w:t>
      </w:r>
    </w:p>
    <w:p w:rsidR="008229D7" w:rsidRDefault="008229D7" w:rsidP="008229D7">
      <w:pPr>
        <w:spacing w:after="0" w:line="360" w:lineRule="auto"/>
        <w:jc w:val="both"/>
        <w:rPr>
          <w:rFonts w:ascii="Times New Roman" w:hAnsi="Times New Roman" w:cs="Times New Roman"/>
          <w:b/>
          <w:sz w:val="24"/>
          <w:szCs w:val="18"/>
        </w:rPr>
      </w:pPr>
      <w:r>
        <w:rPr>
          <w:rFonts w:ascii="Bookman Old Style" w:eastAsia="Times New Roman" w:hAnsi="Bookman Old Style" w:cs="Arial"/>
          <w:b/>
          <w:bCs/>
          <w:color w:val="333333"/>
          <w:sz w:val="21"/>
          <w:szCs w:val="21"/>
          <w:lang w:eastAsia="pt-BR"/>
        </w:rPr>
        <w:t> </w:t>
      </w:r>
      <w:r>
        <w:rPr>
          <w:rFonts w:ascii="Bookman Old Style" w:eastAsia="Times New Roman" w:hAnsi="Bookman Old Style" w:cs="Arial"/>
          <w:b/>
          <w:color w:val="333333"/>
          <w:sz w:val="21"/>
          <w:szCs w:val="21"/>
          <w:lang w:eastAsia="pt-BR"/>
        </w:rPr>
        <w:t xml:space="preserve">Resposta: </w:t>
      </w:r>
      <w:r>
        <w:rPr>
          <w:rFonts w:ascii="Times New Roman" w:hAnsi="Times New Roman" w:cs="Times New Roman"/>
          <w:b/>
          <w:sz w:val="24"/>
          <w:szCs w:val="18"/>
        </w:rPr>
        <w:t>A formalização a ser praticada para os empréstimos em consignação será negociada diretamente entre o servidor e a Instituição Financeira vencedora.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c) </w:t>
      </w:r>
      <w:r>
        <w:rPr>
          <w:rFonts w:ascii="Bookman Old Style" w:eastAsia="Times New Roman" w:hAnsi="Bookman Old Style" w:cs="Arial"/>
          <w:color w:val="333333"/>
          <w:sz w:val="21"/>
          <w:szCs w:val="21"/>
          <w:lang w:eastAsia="pt-BR"/>
        </w:rPr>
        <w:t>Possui</w:t>
      </w:r>
      <w:proofErr w:type="gramEnd"/>
      <w:r>
        <w:rPr>
          <w:rFonts w:ascii="Bookman Old Style" w:eastAsia="Times New Roman" w:hAnsi="Bookman Old Style" w:cs="Arial"/>
          <w:color w:val="333333"/>
          <w:sz w:val="21"/>
          <w:szCs w:val="21"/>
          <w:lang w:eastAsia="pt-BR"/>
        </w:rPr>
        <w:t xml:space="preserve"> legislação especifica para o consignado? Se sim, pedimos a gentileza de disponibiliza-la.</w:t>
      </w:r>
    </w:p>
    <w:p w:rsidR="008229D7" w:rsidRDefault="008229D7" w:rsidP="008229D7">
      <w:pPr>
        <w:spacing w:after="0" w:line="240" w:lineRule="auto"/>
        <w:ind w:right="217"/>
        <w:jc w:val="both"/>
        <w:rPr>
          <w:rFonts w:ascii="Times New Roman" w:eastAsia="Times New Roman" w:hAnsi="Times New Roman" w:cs="Times New Roman"/>
          <w:b/>
          <w:color w:val="333333"/>
          <w:sz w:val="28"/>
          <w:szCs w:val="24"/>
          <w:lang w:eastAsia="pt-BR"/>
        </w:rPr>
      </w:pPr>
      <w:r>
        <w:rPr>
          <w:rFonts w:ascii="Bookman Old Style" w:eastAsia="Times New Roman" w:hAnsi="Bookman Old Style" w:cs="Arial"/>
          <w:b/>
          <w:bCs/>
          <w:color w:val="333333"/>
          <w:sz w:val="21"/>
          <w:szCs w:val="21"/>
          <w:lang w:eastAsia="pt-BR"/>
        </w:rPr>
        <w:t> </w:t>
      </w:r>
      <w:r>
        <w:rPr>
          <w:rFonts w:ascii="Times New Roman" w:eastAsia="Times New Roman" w:hAnsi="Times New Roman" w:cs="Times New Roman"/>
          <w:b/>
          <w:color w:val="333333"/>
          <w:lang w:eastAsia="pt-BR"/>
        </w:rPr>
        <w:t xml:space="preserve">Resposta: O Município não possui legislação própria para tal serviço, onde o mesmo deve seguir </w:t>
      </w:r>
      <w:r>
        <w:rPr>
          <w:rFonts w:ascii="Times New Roman" w:hAnsi="Times New Roman" w:cs="Times New Roman"/>
          <w:b/>
          <w:sz w:val="24"/>
        </w:rPr>
        <w:t>as Resoluções do BACEN nº 3.424/2006; nº3.402/2006; nº 3.919/2010; nº 4.639/2018</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lastRenderedPageBreak/>
        <w:t>d) </w:t>
      </w:r>
      <w:r>
        <w:rPr>
          <w:rFonts w:ascii="Bookman Old Style" w:eastAsia="Times New Roman" w:hAnsi="Bookman Old Style" w:cs="Arial"/>
          <w:color w:val="333333"/>
          <w:sz w:val="21"/>
          <w:szCs w:val="21"/>
          <w:lang w:eastAsia="pt-BR"/>
        </w:rPr>
        <w:t>Será</w:t>
      </w:r>
      <w:proofErr w:type="gramEnd"/>
      <w:r>
        <w:rPr>
          <w:rFonts w:ascii="Bookman Old Style" w:eastAsia="Times New Roman" w:hAnsi="Bookman Old Style" w:cs="Arial"/>
          <w:color w:val="333333"/>
          <w:sz w:val="21"/>
          <w:szCs w:val="21"/>
          <w:lang w:eastAsia="pt-BR"/>
        </w:rPr>
        <w:t xml:space="preserve"> celebrado convênio em especifico? A minuta será fornecida pelo órgão ou pelo banco? Caso seja minuta especifica do órgão, favor disponibiliza-la para análise.</w:t>
      </w:r>
    </w:p>
    <w:p w:rsidR="008229D7" w:rsidRDefault="008229D7" w:rsidP="008229D7">
      <w:pPr>
        <w:spacing w:after="0" w:line="240" w:lineRule="auto"/>
        <w:ind w:right="217"/>
        <w:jc w:val="both"/>
        <w:rPr>
          <w:rFonts w:ascii="Times New Roman" w:eastAsia="Times New Roman" w:hAnsi="Times New Roman" w:cs="Times New Roman"/>
          <w:b/>
          <w:color w:val="333333"/>
          <w:sz w:val="28"/>
          <w:szCs w:val="24"/>
          <w:lang w:eastAsia="pt-BR"/>
        </w:rPr>
      </w:pPr>
      <w:r>
        <w:rPr>
          <w:rFonts w:ascii="Bookman Old Style" w:eastAsia="Times New Roman" w:hAnsi="Bookman Old Style" w:cs="Arial"/>
          <w:b/>
          <w:bCs/>
          <w:color w:val="333333"/>
          <w:sz w:val="21"/>
          <w:szCs w:val="21"/>
          <w:lang w:eastAsia="pt-BR"/>
        </w:rPr>
        <w:t> </w:t>
      </w:r>
      <w:r>
        <w:rPr>
          <w:rFonts w:ascii="Times New Roman" w:eastAsia="Times New Roman" w:hAnsi="Times New Roman" w:cs="Times New Roman"/>
          <w:b/>
          <w:color w:val="333333"/>
          <w:lang w:eastAsia="pt-BR"/>
        </w:rPr>
        <w:t xml:space="preserve">Resposta: O Município não possui legislação própria para tal serviço, </w:t>
      </w:r>
      <w:r>
        <w:rPr>
          <w:rFonts w:ascii="Times New Roman" w:hAnsi="Times New Roman" w:cs="Times New Roman"/>
          <w:b/>
          <w:sz w:val="24"/>
        </w:rPr>
        <w:t>onde o município validará a minuta fornecida pelo banco.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e) </w:t>
      </w:r>
      <w:r>
        <w:rPr>
          <w:rFonts w:ascii="Bookman Old Style" w:eastAsia="Times New Roman" w:hAnsi="Bookman Old Style" w:cs="Arial"/>
          <w:color w:val="333333"/>
          <w:sz w:val="21"/>
          <w:szCs w:val="21"/>
          <w:lang w:eastAsia="pt-BR"/>
        </w:rPr>
        <w:t>Quais</w:t>
      </w:r>
      <w:proofErr w:type="gramEnd"/>
      <w:r>
        <w:rPr>
          <w:rFonts w:ascii="Bookman Old Style" w:eastAsia="Times New Roman" w:hAnsi="Bookman Old Style" w:cs="Arial"/>
          <w:color w:val="333333"/>
          <w:sz w:val="21"/>
          <w:szCs w:val="21"/>
          <w:lang w:eastAsia="pt-BR"/>
        </w:rPr>
        <w:t xml:space="preserve"> autarquias estão vinculadas ao certame? A formalização da minuta do consignado será individual para cada autarquia?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color w:val="333333"/>
          <w:sz w:val="21"/>
          <w:szCs w:val="21"/>
          <w:lang w:eastAsia="pt-BR"/>
        </w:rPr>
        <w:t>Resposta: Somente o município de Santo Antonio do Sudoeste.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f) </w:t>
      </w:r>
      <w:r>
        <w:rPr>
          <w:rFonts w:ascii="Bookman Old Style" w:eastAsia="Times New Roman" w:hAnsi="Bookman Old Style" w:cs="Arial"/>
          <w:color w:val="333333"/>
          <w:sz w:val="21"/>
          <w:szCs w:val="21"/>
          <w:lang w:eastAsia="pt-BR"/>
        </w:rPr>
        <w:t>Qual</w:t>
      </w:r>
      <w:proofErr w:type="gramEnd"/>
      <w:r>
        <w:rPr>
          <w:rFonts w:ascii="Bookman Old Style" w:eastAsia="Times New Roman" w:hAnsi="Bookman Old Style" w:cs="Arial"/>
          <w:color w:val="333333"/>
          <w:sz w:val="21"/>
          <w:szCs w:val="21"/>
          <w:lang w:eastAsia="pt-BR"/>
        </w:rPr>
        <w:t xml:space="preserve"> a margem máxima adota pelo órgão? É possível que os servidores tenham mais de um contrato de crédito consignado, desde que não ultrapasse a margem estabelecida por lei?</w:t>
      </w:r>
    </w:p>
    <w:p w:rsidR="008229D7" w:rsidRDefault="008229D7" w:rsidP="008229D7">
      <w:pPr>
        <w:spacing w:after="0" w:line="240" w:lineRule="auto"/>
        <w:ind w:right="217"/>
        <w:jc w:val="both"/>
        <w:rPr>
          <w:rFonts w:ascii="Times New Roman" w:hAnsi="Times New Roman" w:cs="Times New Roman"/>
          <w:b/>
          <w:sz w:val="24"/>
          <w:szCs w:val="18"/>
        </w:rPr>
      </w:pPr>
      <w:r>
        <w:rPr>
          <w:rFonts w:ascii="Bookman Old Style" w:eastAsia="Times New Roman" w:hAnsi="Bookman Old Style" w:cs="Arial"/>
          <w:b/>
          <w:bCs/>
          <w:color w:val="333333"/>
          <w:sz w:val="21"/>
          <w:szCs w:val="21"/>
          <w:lang w:eastAsia="pt-BR"/>
        </w:rPr>
        <w:t> </w:t>
      </w:r>
      <w:r>
        <w:rPr>
          <w:rFonts w:ascii="Times New Roman" w:eastAsia="Times New Roman" w:hAnsi="Times New Roman" w:cs="Times New Roman"/>
          <w:b/>
          <w:color w:val="333333"/>
          <w:lang w:eastAsia="pt-BR"/>
        </w:rPr>
        <w:t>Resposta:</w:t>
      </w:r>
      <w:r>
        <w:rPr>
          <w:rFonts w:ascii="Calibri" w:eastAsia="Times New Roman" w:hAnsi="Calibri" w:cs="Calibri"/>
          <w:color w:val="333333"/>
          <w:lang w:eastAsia="pt-BR"/>
        </w:rPr>
        <w:t> </w:t>
      </w:r>
      <w:r>
        <w:rPr>
          <w:rFonts w:ascii="Times New Roman" w:hAnsi="Times New Roman" w:cs="Times New Roman"/>
          <w:b/>
          <w:sz w:val="24"/>
          <w:szCs w:val="18"/>
        </w:rPr>
        <w:t>A aprovação da concessão de empréstimo deve ser precedida de consulta junto ao RH do Município, para verificação do limite máximo a ser permitido, ou seja 30% dos proventos. Sim é possível ter mais de um contrato.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g) </w:t>
      </w:r>
      <w:r>
        <w:rPr>
          <w:rFonts w:ascii="Bookman Old Style" w:eastAsia="Times New Roman" w:hAnsi="Bookman Old Style" w:cs="Arial"/>
          <w:color w:val="333333"/>
          <w:sz w:val="21"/>
          <w:szCs w:val="21"/>
          <w:lang w:eastAsia="pt-BR"/>
        </w:rPr>
        <w:t>O órgão opera com site de gestão das margens do consignado? Se sim, qual o site? Quais os custos envolvendo adesão e manutenção do site? A contratação do site ocorreu por licitação? Qual o vencimento do contrato? Solicitamos uma cópia do edital e ata?</w:t>
      </w:r>
    </w:p>
    <w:p w:rsidR="008229D7" w:rsidRDefault="008229D7" w:rsidP="008229D7">
      <w:pPr>
        <w:spacing w:after="0" w:line="240" w:lineRule="auto"/>
        <w:ind w:right="217"/>
        <w:jc w:val="both"/>
        <w:rPr>
          <w:rFonts w:ascii="Times New Roman" w:hAnsi="Times New Roman" w:cs="Times New Roman"/>
          <w:b/>
          <w:sz w:val="24"/>
          <w:szCs w:val="18"/>
        </w:rPr>
      </w:pPr>
      <w:r>
        <w:rPr>
          <w:rFonts w:ascii="Times New Roman" w:eastAsia="Times New Roman" w:hAnsi="Times New Roman" w:cs="Times New Roman"/>
          <w:b/>
          <w:color w:val="333333"/>
          <w:lang w:eastAsia="pt-BR"/>
        </w:rPr>
        <w:t>Resposta:</w:t>
      </w:r>
      <w:r>
        <w:rPr>
          <w:rFonts w:ascii="Calibri" w:eastAsia="Times New Roman" w:hAnsi="Calibri" w:cs="Calibri"/>
          <w:color w:val="333333"/>
          <w:lang w:eastAsia="pt-BR"/>
        </w:rPr>
        <w:t> </w:t>
      </w:r>
      <w:r>
        <w:rPr>
          <w:rFonts w:ascii="Times New Roman" w:hAnsi="Times New Roman" w:cs="Times New Roman"/>
          <w:b/>
          <w:sz w:val="24"/>
          <w:szCs w:val="18"/>
        </w:rPr>
        <w:t xml:space="preserve">O município opera com o </w:t>
      </w:r>
      <w:proofErr w:type="spellStart"/>
      <w:r>
        <w:rPr>
          <w:rFonts w:ascii="Times New Roman" w:hAnsi="Times New Roman" w:cs="Times New Roman"/>
          <w:b/>
          <w:sz w:val="24"/>
          <w:szCs w:val="18"/>
        </w:rPr>
        <w:t>consignet</w:t>
      </w:r>
      <w:proofErr w:type="spellEnd"/>
      <w:r>
        <w:rPr>
          <w:rFonts w:ascii="Times New Roman" w:hAnsi="Times New Roman" w:cs="Times New Roman"/>
          <w:b/>
          <w:sz w:val="24"/>
          <w:szCs w:val="18"/>
        </w:rPr>
        <w:t>.</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h) </w:t>
      </w:r>
      <w:r>
        <w:rPr>
          <w:rFonts w:ascii="Bookman Old Style" w:eastAsia="Times New Roman" w:hAnsi="Bookman Old Style" w:cs="Arial"/>
          <w:color w:val="333333"/>
          <w:sz w:val="21"/>
          <w:szCs w:val="21"/>
          <w:lang w:eastAsia="pt-BR"/>
        </w:rPr>
        <w:t>Qual</w:t>
      </w:r>
      <w:proofErr w:type="gramEnd"/>
      <w:r>
        <w:rPr>
          <w:rFonts w:ascii="Bookman Old Style" w:eastAsia="Times New Roman" w:hAnsi="Bookman Old Style" w:cs="Arial"/>
          <w:color w:val="333333"/>
          <w:sz w:val="21"/>
          <w:szCs w:val="21"/>
          <w:lang w:eastAsia="pt-BR"/>
        </w:rPr>
        <w:t xml:space="preserve"> prazo máximo das operações de consignado? Consta em legislação? O órgão efetuará o desconto das parcelas na provisão de férias dos servidores?</w:t>
      </w:r>
    </w:p>
    <w:p w:rsidR="008229D7" w:rsidRDefault="008229D7" w:rsidP="008229D7">
      <w:pPr>
        <w:spacing w:after="0" w:line="240" w:lineRule="auto"/>
        <w:ind w:right="217"/>
        <w:jc w:val="both"/>
        <w:rPr>
          <w:rFonts w:ascii="Times New Roman" w:eastAsia="Times New Roman" w:hAnsi="Times New Roman" w:cs="Times New Roman"/>
          <w:b/>
          <w:color w:val="333333"/>
          <w:sz w:val="28"/>
          <w:szCs w:val="24"/>
          <w:lang w:eastAsia="pt-BR"/>
        </w:rPr>
      </w:pPr>
      <w:r>
        <w:rPr>
          <w:rFonts w:ascii="Bookman Old Style" w:eastAsia="Times New Roman" w:hAnsi="Bookman Old Style" w:cs="Arial"/>
          <w:b/>
          <w:bCs/>
          <w:color w:val="333333"/>
          <w:sz w:val="21"/>
          <w:szCs w:val="21"/>
          <w:lang w:eastAsia="pt-BR"/>
        </w:rPr>
        <w:t> </w:t>
      </w:r>
      <w:r>
        <w:rPr>
          <w:rFonts w:ascii="Times New Roman" w:eastAsia="Times New Roman" w:hAnsi="Times New Roman" w:cs="Times New Roman"/>
          <w:b/>
          <w:color w:val="333333"/>
          <w:lang w:eastAsia="pt-BR"/>
        </w:rPr>
        <w:t xml:space="preserve">Resposta: 60 meses correspondendo a vigência do contrato. O mesmo deve seguir </w:t>
      </w:r>
      <w:r>
        <w:rPr>
          <w:rFonts w:ascii="Times New Roman" w:hAnsi="Times New Roman" w:cs="Times New Roman"/>
          <w:b/>
          <w:sz w:val="24"/>
        </w:rPr>
        <w:t>as Resoluções do BACEN nº 3.424/2006; nº3.402/2006; nº 3.919/2010; nº 4.639/2018. Não será realizado desconto na provisão de férias.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i) </w:t>
      </w:r>
      <w:r>
        <w:rPr>
          <w:rFonts w:ascii="Bookman Old Style" w:eastAsia="Times New Roman" w:hAnsi="Bookman Old Style" w:cs="Arial"/>
          <w:color w:val="333333"/>
          <w:sz w:val="21"/>
          <w:szCs w:val="21"/>
          <w:lang w:eastAsia="pt-BR"/>
        </w:rPr>
        <w:t>Em</w:t>
      </w:r>
      <w:proofErr w:type="gramEnd"/>
      <w:r>
        <w:rPr>
          <w:rFonts w:ascii="Bookman Old Style" w:eastAsia="Times New Roman" w:hAnsi="Bookman Old Style" w:cs="Arial"/>
          <w:color w:val="333333"/>
          <w:sz w:val="21"/>
          <w:szCs w:val="21"/>
          <w:lang w:eastAsia="pt-BR"/>
        </w:rPr>
        <w:t xml:space="preserve"> caso de perda de margem consignável do servidor, está correto o entendimento de que a prefeitura fará o desconto parcial do valor consignado e repassará a consignatária? Se a consignatária não quiser que a prefeitura faça o desconto parcial. É possível?</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r>
        <w:rPr>
          <w:rFonts w:ascii="Times New Roman" w:eastAsia="Times New Roman" w:hAnsi="Times New Roman" w:cs="Times New Roman"/>
          <w:b/>
          <w:color w:val="333333"/>
          <w:lang w:eastAsia="pt-BR"/>
        </w:rPr>
        <w:t>Resposta: Não há margem para tal possibilidade.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j) </w:t>
      </w:r>
      <w:r>
        <w:rPr>
          <w:rFonts w:ascii="Bookman Old Style" w:eastAsia="Times New Roman" w:hAnsi="Bookman Old Style" w:cs="Arial"/>
          <w:color w:val="333333"/>
          <w:sz w:val="21"/>
          <w:szCs w:val="21"/>
          <w:lang w:eastAsia="pt-BR"/>
        </w:rPr>
        <w:t>Em</w:t>
      </w:r>
      <w:proofErr w:type="gramEnd"/>
      <w:r>
        <w:rPr>
          <w:rFonts w:ascii="Bookman Old Style" w:eastAsia="Times New Roman" w:hAnsi="Bookman Old Style" w:cs="Arial"/>
          <w:color w:val="333333"/>
          <w:sz w:val="21"/>
          <w:szCs w:val="21"/>
          <w:lang w:eastAsia="pt-BR"/>
        </w:rPr>
        <w:t xml:space="preserve"> caso de desligamento/exoneração do servidor, está correto o entendimento de que a prefeitura fará o repasse das verbas rescisórias a consignatária?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r>
        <w:rPr>
          <w:rFonts w:ascii="Times New Roman" w:eastAsia="Times New Roman" w:hAnsi="Times New Roman" w:cs="Times New Roman"/>
          <w:b/>
          <w:color w:val="333333"/>
          <w:lang w:eastAsia="pt-BR"/>
        </w:rPr>
        <w:t>Resposta: Será retido a próxima parcela a vencer no mínimo.</w:t>
      </w:r>
    </w:p>
    <w:p w:rsidR="008229D7" w:rsidRDefault="008229D7" w:rsidP="008229D7">
      <w:pPr>
        <w:spacing w:after="0" w:line="360" w:lineRule="auto"/>
        <w:jc w:val="both"/>
        <w:rPr>
          <w:rFonts w:ascii="Bookman Old Style" w:eastAsia="Times New Roman" w:hAnsi="Bookman Old Style" w:cs="Arial"/>
          <w:b/>
          <w:bCs/>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lastRenderedPageBreak/>
        <w:t>k) </w:t>
      </w:r>
      <w:r>
        <w:rPr>
          <w:rFonts w:ascii="Bookman Old Style" w:eastAsia="Times New Roman" w:hAnsi="Bookman Old Style" w:cs="Arial"/>
          <w:color w:val="333333"/>
          <w:sz w:val="21"/>
          <w:szCs w:val="21"/>
          <w:lang w:eastAsia="pt-BR"/>
        </w:rPr>
        <w:t>Quais</w:t>
      </w:r>
      <w:proofErr w:type="gramEnd"/>
      <w:r>
        <w:rPr>
          <w:rFonts w:ascii="Bookman Old Style" w:eastAsia="Times New Roman" w:hAnsi="Bookman Old Style" w:cs="Arial"/>
          <w:color w:val="333333"/>
          <w:sz w:val="21"/>
          <w:szCs w:val="21"/>
          <w:lang w:eastAsia="pt-BR"/>
        </w:rPr>
        <w:t xml:space="preserve"> bancos operam atualmente na concessão de crédito consignado e qual a distribuição dos repasses entre as instituições?</w:t>
      </w:r>
    </w:p>
    <w:p w:rsidR="008229D7" w:rsidRDefault="008229D7" w:rsidP="008229D7">
      <w:pPr>
        <w:spacing w:after="0" w:line="240" w:lineRule="auto"/>
        <w:ind w:right="217"/>
        <w:jc w:val="both"/>
        <w:rPr>
          <w:rFonts w:ascii="Times New Roman" w:eastAsia="Times New Roman" w:hAnsi="Times New Roman" w:cs="Times New Roman"/>
          <w:b/>
          <w:color w:val="333333"/>
          <w:lang w:eastAsia="pt-BR"/>
        </w:rPr>
      </w:pPr>
      <w:r>
        <w:rPr>
          <w:rFonts w:ascii="Times New Roman" w:eastAsia="Times New Roman" w:hAnsi="Times New Roman" w:cs="Times New Roman"/>
          <w:b/>
          <w:color w:val="333333"/>
          <w:lang w:eastAsia="pt-BR"/>
        </w:rPr>
        <w:t xml:space="preserve">- Caixa Econômica é repassado o valor de R$ 93.838,22. </w:t>
      </w:r>
    </w:p>
    <w:p w:rsidR="008229D7" w:rsidRDefault="008229D7" w:rsidP="008229D7">
      <w:pPr>
        <w:spacing w:after="0" w:line="240" w:lineRule="auto"/>
        <w:ind w:right="217"/>
        <w:jc w:val="both"/>
        <w:rPr>
          <w:rFonts w:ascii="Times New Roman" w:eastAsia="Times New Roman" w:hAnsi="Times New Roman" w:cs="Times New Roman"/>
          <w:b/>
          <w:color w:val="333333"/>
          <w:lang w:eastAsia="pt-BR"/>
        </w:rPr>
      </w:pPr>
      <w:r>
        <w:rPr>
          <w:rFonts w:ascii="Times New Roman" w:eastAsia="Times New Roman" w:hAnsi="Times New Roman" w:cs="Times New Roman"/>
          <w:b/>
          <w:color w:val="333333"/>
          <w:lang w:eastAsia="pt-BR"/>
        </w:rPr>
        <w:t>- Banco do Brasil é repassado o valor de R$ 7.590,78.</w:t>
      </w:r>
    </w:p>
    <w:p w:rsidR="008229D7" w:rsidRDefault="008229D7" w:rsidP="008229D7">
      <w:pPr>
        <w:spacing w:after="0" w:line="240" w:lineRule="auto"/>
        <w:ind w:right="217"/>
        <w:jc w:val="both"/>
        <w:rPr>
          <w:rFonts w:ascii="Times New Roman" w:eastAsia="Times New Roman" w:hAnsi="Times New Roman" w:cs="Times New Roman"/>
          <w:b/>
          <w:color w:val="333333"/>
          <w:lang w:eastAsia="pt-BR"/>
        </w:rPr>
      </w:pPr>
      <w:r>
        <w:rPr>
          <w:rFonts w:ascii="Times New Roman" w:eastAsia="Times New Roman" w:hAnsi="Times New Roman" w:cs="Times New Roman"/>
          <w:b/>
          <w:color w:val="333333"/>
          <w:lang w:eastAsia="pt-BR"/>
        </w:rPr>
        <w:t xml:space="preserve">- </w:t>
      </w:r>
      <w:proofErr w:type="spellStart"/>
      <w:r>
        <w:rPr>
          <w:rFonts w:ascii="Times New Roman" w:eastAsia="Times New Roman" w:hAnsi="Times New Roman" w:cs="Times New Roman"/>
          <w:b/>
          <w:color w:val="333333"/>
          <w:lang w:eastAsia="pt-BR"/>
        </w:rPr>
        <w:t>Sicredi</w:t>
      </w:r>
      <w:proofErr w:type="spellEnd"/>
      <w:r>
        <w:rPr>
          <w:rFonts w:ascii="Times New Roman" w:eastAsia="Times New Roman" w:hAnsi="Times New Roman" w:cs="Times New Roman"/>
          <w:b/>
          <w:color w:val="333333"/>
          <w:lang w:eastAsia="pt-BR"/>
        </w:rPr>
        <w:t xml:space="preserve"> é repassado o valor de R$ 21.426,55.</w:t>
      </w:r>
    </w:p>
    <w:p w:rsidR="008229D7" w:rsidRDefault="008229D7" w:rsidP="008229D7">
      <w:pPr>
        <w:spacing w:after="0" w:line="240" w:lineRule="auto"/>
        <w:ind w:right="217"/>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b/>
          <w:color w:val="333333"/>
          <w:lang w:eastAsia="pt-BR"/>
        </w:rPr>
        <w:t xml:space="preserve">- </w:t>
      </w:r>
      <w:proofErr w:type="spellStart"/>
      <w:r>
        <w:rPr>
          <w:rFonts w:ascii="Times New Roman" w:eastAsia="Times New Roman" w:hAnsi="Times New Roman" w:cs="Times New Roman"/>
          <w:b/>
          <w:color w:val="333333"/>
          <w:lang w:eastAsia="pt-BR"/>
        </w:rPr>
        <w:t>Sicoob</w:t>
      </w:r>
      <w:proofErr w:type="spellEnd"/>
      <w:r>
        <w:rPr>
          <w:rFonts w:ascii="Times New Roman" w:eastAsia="Times New Roman" w:hAnsi="Times New Roman" w:cs="Times New Roman"/>
          <w:b/>
          <w:color w:val="333333"/>
          <w:lang w:eastAsia="pt-BR"/>
        </w:rPr>
        <w:t xml:space="preserve"> é repassado o valor de R$ 49.108,73.</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DA ESTRUTURA: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4)</w:t>
      </w:r>
      <w:r>
        <w:rPr>
          <w:rFonts w:ascii="Bookman Old Style" w:eastAsia="Times New Roman" w:hAnsi="Bookman Old Style" w:cs="Arial"/>
          <w:color w:val="333333"/>
          <w:sz w:val="21"/>
          <w:szCs w:val="21"/>
          <w:lang w:eastAsia="pt-BR"/>
        </w:rPr>
        <w:t> O item 3.1 do edital prevê que a Instituição Financeira vencedora do certame mantenha no município de Santo Antonio do Sudoeste o funcionamento de agência bancária ou Posto Bancário, eventualmente instalado no paço municipal.</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Diante do exposto, questionamos: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a) </w:t>
      </w:r>
      <w:r>
        <w:rPr>
          <w:rFonts w:ascii="Bookman Old Style" w:eastAsia="Times New Roman" w:hAnsi="Bookman Old Style" w:cs="Arial"/>
          <w:color w:val="333333"/>
          <w:sz w:val="21"/>
          <w:szCs w:val="21"/>
          <w:lang w:eastAsia="pt-BR"/>
        </w:rPr>
        <w:t>É</w:t>
      </w:r>
      <w:proofErr w:type="gramEnd"/>
      <w:r>
        <w:rPr>
          <w:rFonts w:ascii="Bookman Old Style" w:eastAsia="Times New Roman" w:hAnsi="Bookman Old Style" w:cs="Arial"/>
          <w:color w:val="333333"/>
          <w:sz w:val="21"/>
          <w:szCs w:val="21"/>
          <w:lang w:eastAsia="pt-BR"/>
        </w:rPr>
        <w:t xml:space="preserve"> correto o entendimento de que a instalação do Posto de Atendimento Bancário, nas dependências da Prefeitura Municipal de Santo Antonio do Sudoeste será facultativa, mediante prévio acordo entre as partes?</w:t>
      </w:r>
    </w:p>
    <w:p w:rsidR="008229D7" w:rsidRDefault="008229D7" w:rsidP="008229D7">
      <w:pPr>
        <w:spacing w:after="0" w:line="240" w:lineRule="auto"/>
        <w:rPr>
          <w:rFonts w:ascii="Times New Roman" w:eastAsia="Times New Roman" w:hAnsi="Times New Roman" w:cs="Times New Roman"/>
          <w:b/>
          <w:color w:val="333333"/>
          <w:sz w:val="24"/>
          <w:szCs w:val="24"/>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 xml:space="preserve">Resposta: O edital não solicita tais instalações, </w:t>
      </w:r>
      <w:r>
        <w:rPr>
          <w:rFonts w:ascii="Times New Roman" w:eastAsia="Times New Roman" w:hAnsi="Times New Roman" w:cs="Times New Roman"/>
          <w:b/>
          <w:color w:val="333333"/>
          <w:lang w:eastAsia="pt-BR"/>
        </w:rPr>
        <w:t>e não há expectativa de tais instalações.</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b)</w:t>
      </w:r>
      <w:r>
        <w:rPr>
          <w:rFonts w:ascii="Bookman Old Style" w:eastAsia="Times New Roman" w:hAnsi="Bookman Old Style" w:cs="Arial"/>
          <w:color w:val="333333"/>
          <w:sz w:val="21"/>
          <w:szCs w:val="21"/>
          <w:lang w:eastAsia="pt-BR"/>
        </w:rPr>
        <w:t> O espaço físico informado no item supracitado encontra-se ocupado por algum banco?</w:t>
      </w:r>
    </w:p>
    <w:p w:rsidR="008229D7" w:rsidRDefault="008229D7" w:rsidP="008229D7">
      <w:pPr>
        <w:spacing w:after="0" w:line="240" w:lineRule="auto"/>
        <w:rPr>
          <w:rFonts w:ascii="Times New Roman" w:eastAsia="Times New Roman" w:hAnsi="Times New Roman" w:cs="Times New Roman"/>
          <w:b/>
          <w:color w:val="333333"/>
          <w:sz w:val="24"/>
          <w:szCs w:val="24"/>
          <w:lang w:eastAsia="pt-BR"/>
        </w:rPr>
      </w:pPr>
      <w:r>
        <w:rPr>
          <w:rFonts w:ascii="Bookman Old Style" w:eastAsia="Times New Roman" w:hAnsi="Bookman Old Style" w:cs="Arial"/>
          <w:b/>
          <w:color w:val="333333"/>
          <w:sz w:val="21"/>
          <w:szCs w:val="21"/>
          <w:lang w:eastAsia="pt-BR"/>
        </w:rPr>
        <w:t xml:space="preserve"> Resposta: </w:t>
      </w:r>
      <w:r>
        <w:rPr>
          <w:rFonts w:ascii="Times New Roman" w:eastAsia="Times New Roman" w:hAnsi="Times New Roman" w:cs="Times New Roman"/>
          <w:b/>
          <w:color w:val="333333"/>
          <w:lang w:eastAsia="pt-BR"/>
        </w:rPr>
        <w:t>Como informado na questão anterior, não possuímos em nossas unidades administrativas, estruturas de atendimento bancário, e não pretendemos dispor de tais estruturas para a prestação deste serviço.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c) </w:t>
      </w:r>
      <w:r>
        <w:rPr>
          <w:rFonts w:ascii="Bookman Old Style" w:eastAsia="Times New Roman" w:hAnsi="Bookman Old Style" w:cs="Arial"/>
          <w:color w:val="333333"/>
          <w:sz w:val="21"/>
          <w:szCs w:val="21"/>
          <w:lang w:eastAsia="pt-BR"/>
        </w:rPr>
        <w:t>Caso positivo na pergunta anterior, qual o prazo para desocupação do mesmo?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Vide alínea b deste questionamento.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 </w:t>
      </w:r>
      <w:r>
        <w:rPr>
          <w:rFonts w:ascii="Bookman Old Style" w:eastAsia="Times New Roman" w:hAnsi="Bookman Old Style" w:cs="Arial"/>
          <w:color w:val="333333"/>
          <w:sz w:val="21"/>
          <w:szCs w:val="21"/>
          <w:lang w:eastAsia="pt-BR"/>
        </w:rPr>
        <w:t>O público externo tem (ou terá) acesso ao espaço ou será restrito aos servidores?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Vide alínea b deste questionamento.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e) </w:t>
      </w:r>
      <w:r>
        <w:rPr>
          <w:rFonts w:ascii="Bookman Old Style" w:eastAsia="Times New Roman" w:hAnsi="Bookman Old Style" w:cs="Arial"/>
          <w:color w:val="333333"/>
          <w:sz w:val="21"/>
          <w:szCs w:val="21"/>
          <w:lang w:eastAsia="pt-BR"/>
        </w:rPr>
        <w:t>Quantos</w:t>
      </w:r>
      <w:proofErr w:type="gramEnd"/>
      <w:r>
        <w:rPr>
          <w:rFonts w:ascii="Bookman Old Style" w:eastAsia="Times New Roman" w:hAnsi="Bookman Old Style" w:cs="Arial"/>
          <w:color w:val="333333"/>
          <w:sz w:val="21"/>
          <w:szCs w:val="21"/>
          <w:lang w:eastAsia="pt-BR"/>
        </w:rPr>
        <w:t xml:space="preserve"> servidores/funcionários trabalham no prédio onde deverá ser instalada a estrutura de autoatendimento (caixa eletrônico)?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Vide alínea b deste questionamento.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f) </w:t>
      </w:r>
      <w:r>
        <w:rPr>
          <w:rFonts w:ascii="Bookman Old Style" w:eastAsia="Times New Roman" w:hAnsi="Bookman Old Style" w:cs="Arial"/>
          <w:color w:val="333333"/>
          <w:sz w:val="21"/>
          <w:szCs w:val="21"/>
          <w:lang w:eastAsia="pt-BR"/>
        </w:rPr>
        <w:t>Qual</w:t>
      </w:r>
      <w:proofErr w:type="gramEnd"/>
      <w:r>
        <w:rPr>
          <w:rFonts w:ascii="Bookman Old Style" w:eastAsia="Times New Roman" w:hAnsi="Bookman Old Style" w:cs="Arial"/>
          <w:color w:val="333333"/>
          <w:sz w:val="21"/>
          <w:szCs w:val="21"/>
          <w:lang w:eastAsia="pt-BR"/>
        </w:rPr>
        <w:t xml:space="preserve"> a metragem do espaço a ser disponibilizado para a instalação do PAB?</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Vide alínea b deste questionamento.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g) </w:t>
      </w:r>
      <w:r>
        <w:rPr>
          <w:rFonts w:ascii="Bookman Old Style" w:eastAsia="Times New Roman" w:hAnsi="Bookman Old Style" w:cs="Arial"/>
          <w:color w:val="333333"/>
          <w:sz w:val="21"/>
          <w:szCs w:val="21"/>
          <w:lang w:eastAsia="pt-BR"/>
        </w:rPr>
        <w:t>Está</w:t>
      </w:r>
      <w:proofErr w:type="gramEnd"/>
      <w:r>
        <w:rPr>
          <w:rFonts w:ascii="Bookman Old Style" w:eastAsia="Times New Roman" w:hAnsi="Bookman Old Style" w:cs="Arial"/>
          <w:color w:val="333333"/>
          <w:sz w:val="21"/>
          <w:szCs w:val="21"/>
          <w:lang w:eastAsia="pt-BR"/>
        </w:rPr>
        <w:t xml:space="preserve"> correto o entendimento de que a utilização dos espaços físicos pertencentes à Prefeitura dar-se-á sem ônus adicional ao futuro contratado?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lastRenderedPageBreak/>
        <w:t>  </w:t>
      </w:r>
      <w:r>
        <w:rPr>
          <w:rFonts w:ascii="Bookman Old Style" w:eastAsia="Times New Roman" w:hAnsi="Bookman Old Style" w:cs="Arial"/>
          <w:b/>
          <w:color w:val="333333"/>
          <w:sz w:val="21"/>
          <w:szCs w:val="21"/>
          <w:lang w:eastAsia="pt-BR"/>
        </w:rPr>
        <w:t>Resposta: Vide alínea b deste questionamento.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DA DECLARAÇÃO: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5)</w:t>
      </w:r>
      <w:r>
        <w:rPr>
          <w:rFonts w:ascii="Bookman Old Style" w:eastAsia="Times New Roman" w:hAnsi="Bookman Old Style" w:cs="Arial"/>
          <w:color w:val="333333"/>
          <w:sz w:val="21"/>
          <w:szCs w:val="21"/>
          <w:lang w:eastAsia="pt-BR"/>
        </w:rPr>
        <w:t> </w:t>
      </w:r>
      <w:proofErr w:type="gramStart"/>
      <w:r>
        <w:rPr>
          <w:rFonts w:ascii="Bookman Old Style" w:eastAsia="Times New Roman" w:hAnsi="Bookman Old Style" w:cs="Arial"/>
          <w:b/>
          <w:bCs/>
          <w:color w:val="333333"/>
          <w:sz w:val="21"/>
          <w:szCs w:val="21"/>
          <w:lang w:eastAsia="pt-BR"/>
        </w:rPr>
        <w:t> </w:t>
      </w:r>
      <w:r>
        <w:rPr>
          <w:rFonts w:ascii="Bookman Old Style" w:eastAsia="Times New Roman" w:hAnsi="Bookman Old Style" w:cs="Arial"/>
          <w:color w:val="333333"/>
          <w:sz w:val="21"/>
          <w:szCs w:val="21"/>
          <w:lang w:eastAsia="pt-BR"/>
        </w:rPr>
        <w:t>Observamos</w:t>
      </w:r>
      <w:proofErr w:type="gramEnd"/>
      <w:r>
        <w:rPr>
          <w:rFonts w:ascii="Bookman Old Style" w:eastAsia="Times New Roman" w:hAnsi="Bookman Old Style" w:cs="Arial"/>
          <w:color w:val="333333"/>
          <w:sz w:val="21"/>
          <w:szCs w:val="21"/>
          <w:lang w:eastAsia="pt-BR"/>
        </w:rPr>
        <w:t xml:space="preserve"> que o edital exige a apresentação de que a licitante não tenha em seu quadro societário e de empregados, servidor ou dirigente de órgão ou entidade contratante ou responsável pela licitação.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Considerando que: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Os potenciais licitantes são Sociedades Anônimas com extenso rol de representantes eleitos em Assembleia Geral Ordinária anual;</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xml:space="preserve">- O contrato será celebrado com uma pessoa jurídica, portanto </w:t>
      </w:r>
      <w:proofErr w:type="gramStart"/>
      <w:r>
        <w:rPr>
          <w:rFonts w:ascii="Bookman Old Style" w:eastAsia="Times New Roman" w:hAnsi="Bookman Old Style" w:cs="Arial"/>
          <w:color w:val="333333"/>
          <w:sz w:val="21"/>
          <w:szCs w:val="21"/>
          <w:lang w:eastAsia="pt-BR"/>
        </w:rPr>
        <w:t>não  há</w:t>
      </w:r>
      <w:proofErr w:type="gramEnd"/>
      <w:r>
        <w:rPr>
          <w:rFonts w:ascii="Bookman Old Style" w:eastAsia="Times New Roman" w:hAnsi="Bookman Old Style" w:cs="Arial"/>
          <w:color w:val="333333"/>
          <w:sz w:val="21"/>
          <w:szCs w:val="21"/>
          <w:lang w:eastAsia="pt-BR"/>
        </w:rPr>
        <w:t xml:space="preserve"> o que se medir através de seus empregados;;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A Súmula Vinculante 13/STF de 21 de agosto de 2008 veda a contratação de parentes para trabalhar na administração pública, não abrangendo as empresas privadas fornecedoras de produtos e serviços ao município;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O Itaú Unibanco possui mais de 90.000 funcionários não sendo possível viabilizar o controle se algum deles possui qualquer vínculo com o Município de Santo Antonio do Sudoeste.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Diante disto, solicitamos: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a)</w:t>
      </w:r>
      <w:r>
        <w:rPr>
          <w:rFonts w:ascii="Bookman Old Style" w:eastAsia="Times New Roman" w:hAnsi="Bookman Old Style" w:cs="Arial"/>
          <w:color w:val="333333"/>
          <w:sz w:val="21"/>
          <w:szCs w:val="21"/>
          <w:lang w:eastAsia="pt-BR"/>
        </w:rPr>
        <w:t> A dispensa de apresentação da declaração que consta no anexo VIII.</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Resposta: Não será dispensada a declaração no anexo VIII.</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b)</w:t>
      </w:r>
      <w:r>
        <w:rPr>
          <w:rFonts w:ascii="Bookman Old Style" w:eastAsia="Times New Roman" w:hAnsi="Bookman Old Style" w:cs="Arial"/>
          <w:color w:val="333333"/>
          <w:sz w:val="21"/>
          <w:szCs w:val="21"/>
          <w:lang w:eastAsia="pt-BR"/>
        </w:rPr>
        <w:t> Caso</w:t>
      </w:r>
      <w:proofErr w:type="gramEnd"/>
      <w:r>
        <w:rPr>
          <w:rFonts w:ascii="Bookman Old Style" w:eastAsia="Times New Roman" w:hAnsi="Bookman Old Style" w:cs="Arial"/>
          <w:color w:val="333333"/>
          <w:sz w:val="21"/>
          <w:szCs w:val="21"/>
          <w:lang w:eastAsia="pt-BR"/>
        </w:rPr>
        <w:t xml:space="preserve"> a resposta anterior seja negativa, solicitamos que ela seja mantida, porém, restrita aos dirigentes da instituição financeira envolvidos na contratação com o a Prefeitura Municipal de Santo Antonio do Sudoeste.</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 Resposta: Ficará restrita aos Diretores que assinarão o novo contrato pela licitante vencedora.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DOCUMENTAÇÃO: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6) </w:t>
      </w:r>
      <w:r>
        <w:rPr>
          <w:rFonts w:ascii="Bookman Old Style" w:eastAsia="Times New Roman" w:hAnsi="Bookman Old Style" w:cs="Arial"/>
          <w:color w:val="333333"/>
          <w:sz w:val="21"/>
          <w:szCs w:val="21"/>
          <w:lang w:eastAsia="pt-BR"/>
        </w:rPr>
        <w:t>Está</w:t>
      </w:r>
      <w:proofErr w:type="gramEnd"/>
      <w:r>
        <w:rPr>
          <w:rFonts w:ascii="Bookman Old Style" w:eastAsia="Times New Roman" w:hAnsi="Bookman Old Style" w:cs="Arial"/>
          <w:color w:val="333333"/>
          <w:sz w:val="21"/>
          <w:szCs w:val="21"/>
          <w:lang w:eastAsia="pt-BR"/>
        </w:rPr>
        <w:t xml:space="preserve"> correto o entendimento de que as certidões fiscais e demais documentos exigidos para habilitação deverão se referir ao Município sede do licitante e ao CNPJ do futuro contratado, não sendo exigidas certidões da rede de agências no Brasil? </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Resposta: Sim, está correto o entendimento.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lastRenderedPageBreak/>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7)</w:t>
      </w:r>
      <w:r>
        <w:rPr>
          <w:rFonts w:ascii="Bookman Old Style" w:eastAsia="Times New Roman" w:hAnsi="Bookman Old Style" w:cs="Arial"/>
          <w:color w:val="333333"/>
          <w:sz w:val="21"/>
          <w:szCs w:val="21"/>
          <w:lang w:eastAsia="pt-BR"/>
        </w:rPr>
        <w:t> Nos termos da Lei Federal n. 8.666/93, “Os documentos necessários à habilitação poderão ser apresentados em original, por qualquer processo de cópia autenticada por cartório competente ou por servidor da administração ou publicação em órgão da imprensa oficial” (caput do art. 32).</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xml:space="preserve">Buscando dar maior eficiência, economicidade e agilidade aos processos licitatórios, o normativo prevê que os documentos exigidos nos </w:t>
      </w:r>
      <w:proofErr w:type="spellStart"/>
      <w:r>
        <w:rPr>
          <w:rFonts w:ascii="Bookman Old Style" w:eastAsia="Times New Roman" w:hAnsi="Bookman Old Style" w:cs="Arial"/>
          <w:color w:val="333333"/>
          <w:sz w:val="21"/>
          <w:szCs w:val="21"/>
          <w:lang w:eastAsia="pt-BR"/>
        </w:rPr>
        <w:t>arts</w:t>
      </w:r>
      <w:proofErr w:type="spellEnd"/>
      <w:r>
        <w:rPr>
          <w:rFonts w:ascii="Bookman Old Style" w:eastAsia="Times New Roman" w:hAnsi="Bookman Old Style" w:cs="Arial"/>
          <w:color w:val="333333"/>
          <w:sz w:val="21"/>
          <w:szCs w:val="21"/>
          <w:lang w:eastAsia="pt-BR"/>
        </w:rPr>
        <w:t>. 28 a 31 (habilitação jurídica, regularidade fiscal e trabalhista, qualificação técnica e econômico-financeira) possam ser substituídos por certificados de registros cadastrais. Veja: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ind w:left="1416"/>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i/>
          <w:iCs/>
          <w:color w:val="333333"/>
          <w:sz w:val="18"/>
          <w:szCs w:val="18"/>
          <w:lang w:eastAsia="pt-BR"/>
        </w:rPr>
        <w:t>“Lei 8.666/93</w:t>
      </w:r>
    </w:p>
    <w:p w:rsidR="008229D7" w:rsidRDefault="008229D7" w:rsidP="008229D7">
      <w:pPr>
        <w:spacing w:after="0" w:line="360" w:lineRule="auto"/>
        <w:ind w:left="1416"/>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i/>
          <w:iCs/>
          <w:color w:val="333333"/>
          <w:sz w:val="18"/>
          <w:szCs w:val="18"/>
          <w:lang w:eastAsia="pt-BR"/>
        </w:rPr>
        <w:t>Art. 32 (...)</w:t>
      </w:r>
    </w:p>
    <w:p w:rsidR="008229D7" w:rsidRDefault="008229D7" w:rsidP="008229D7">
      <w:pPr>
        <w:spacing w:after="0" w:line="360" w:lineRule="auto"/>
        <w:ind w:left="1416"/>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i/>
          <w:iCs/>
          <w:color w:val="333333"/>
          <w:sz w:val="18"/>
          <w:szCs w:val="18"/>
          <w:lang w:eastAsia="pt-BR"/>
        </w:rPr>
        <w:t>§ 2º </w:t>
      </w:r>
      <w:r>
        <w:rPr>
          <w:rFonts w:ascii="Bookman Old Style" w:eastAsia="Times New Roman" w:hAnsi="Bookman Old Style" w:cs="Arial"/>
          <w:i/>
          <w:iCs/>
          <w:color w:val="333333"/>
          <w:sz w:val="18"/>
          <w:szCs w:val="18"/>
          <w:u w:val="single"/>
          <w:lang w:eastAsia="pt-BR"/>
        </w:rPr>
        <w:t xml:space="preserve">O certificado de registro cadastral a que se refere o § 1º do art. 36 substitui os documentos enumerados nos </w:t>
      </w:r>
      <w:proofErr w:type="spellStart"/>
      <w:r>
        <w:rPr>
          <w:rFonts w:ascii="Bookman Old Style" w:eastAsia="Times New Roman" w:hAnsi="Bookman Old Style" w:cs="Arial"/>
          <w:i/>
          <w:iCs/>
          <w:color w:val="333333"/>
          <w:sz w:val="18"/>
          <w:szCs w:val="18"/>
          <w:u w:val="single"/>
          <w:lang w:eastAsia="pt-BR"/>
        </w:rPr>
        <w:t>arts</w:t>
      </w:r>
      <w:proofErr w:type="spellEnd"/>
      <w:r>
        <w:rPr>
          <w:rFonts w:ascii="Bookman Old Style" w:eastAsia="Times New Roman" w:hAnsi="Bookman Old Style" w:cs="Arial"/>
          <w:i/>
          <w:iCs/>
          <w:color w:val="333333"/>
          <w:sz w:val="18"/>
          <w:szCs w:val="18"/>
          <w:u w:val="single"/>
          <w:lang w:eastAsia="pt-BR"/>
        </w:rPr>
        <w:t>. 28 a 31, quanto às informações disponibilizadas em sistema informatizado de consulta direta indicado no edital, obrigando-se a parte a declarar, sob as penalidades legais, a superveniência de fato impeditivo da habilitação</w:t>
      </w:r>
      <w:r>
        <w:rPr>
          <w:rFonts w:ascii="Bookman Old Style" w:eastAsia="Times New Roman" w:hAnsi="Bookman Old Style" w:cs="Arial"/>
          <w:i/>
          <w:iCs/>
          <w:color w:val="333333"/>
          <w:sz w:val="18"/>
          <w:szCs w:val="18"/>
          <w:lang w:eastAsia="pt-BR"/>
        </w:rPr>
        <w:t>”. (</w:t>
      </w:r>
      <w:proofErr w:type="gramStart"/>
      <w:r>
        <w:rPr>
          <w:rFonts w:ascii="Bookman Old Style" w:eastAsia="Times New Roman" w:hAnsi="Bookman Old Style" w:cs="Arial"/>
          <w:i/>
          <w:iCs/>
          <w:color w:val="333333"/>
          <w:sz w:val="18"/>
          <w:szCs w:val="18"/>
          <w:lang w:eastAsia="pt-BR"/>
        </w:rPr>
        <w:t>grifo</w:t>
      </w:r>
      <w:proofErr w:type="gramEnd"/>
      <w:r>
        <w:rPr>
          <w:rFonts w:ascii="Bookman Old Style" w:eastAsia="Times New Roman" w:hAnsi="Bookman Old Style" w:cs="Arial"/>
          <w:i/>
          <w:iCs/>
          <w:color w:val="333333"/>
          <w:sz w:val="18"/>
          <w:szCs w:val="18"/>
          <w:lang w:eastAsia="pt-BR"/>
        </w:rPr>
        <w:t xml:space="preserve"> nosso)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 Lei Federal n. 10.520/2002, lei do Pregão, foi ainda mais pragmática, ao determinar que o SICAF é opção à apresentação daquela enormidade de documentos nos artigos citados da lei 8.666/93:</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ind w:left="1416"/>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i/>
          <w:iCs/>
          <w:color w:val="333333"/>
          <w:sz w:val="18"/>
          <w:szCs w:val="18"/>
          <w:lang w:eastAsia="pt-BR"/>
        </w:rPr>
        <w:t>“Lei 10.520/2002</w:t>
      </w:r>
    </w:p>
    <w:p w:rsidR="008229D7" w:rsidRDefault="008229D7" w:rsidP="008229D7">
      <w:pPr>
        <w:spacing w:after="0" w:line="360" w:lineRule="auto"/>
        <w:ind w:left="1416"/>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i/>
          <w:iCs/>
          <w:color w:val="333333"/>
          <w:sz w:val="18"/>
          <w:szCs w:val="18"/>
          <w:lang w:eastAsia="pt-BR"/>
        </w:rPr>
        <w:t>Art. 4</w:t>
      </w:r>
      <w:proofErr w:type="gramStart"/>
      <w:r>
        <w:rPr>
          <w:rFonts w:ascii="Bookman Old Style" w:eastAsia="Times New Roman" w:hAnsi="Bookman Old Style" w:cs="Arial"/>
          <w:i/>
          <w:iCs/>
          <w:color w:val="333333"/>
          <w:sz w:val="18"/>
          <w:szCs w:val="18"/>
          <w:lang w:eastAsia="pt-BR"/>
        </w:rPr>
        <w:t>º  A</w:t>
      </w:r>
      <w:proofErr w:type="gramEnd"/>
      <w:r>
        <w:rPr>
          <w:rFonts w:ascii="Bookman Old Style" w:eastAsia="Times New Roman" w:hAnsi="Bookman Old Style" w:cs="Arial"/>
          <w:i/>
          <w:iCs/>
          <w:color w:val="333333"/>
          <w:sz w:val="18"/>
          <w:szCs w:val="18"/>
          <w:lang w:eastAsia="pt-BR"/>
        </w:rPr>
        <w:t xml:space="preserve"> fase externa do pregão será iniciada com a convocação dos interessados e observará as seguintes regras:</w:t>
      </w:r>
    </w:p>
    <w:p w:rsidR="008229D7" w:rsidRDefault="008229D7" w:rsidP="008229D7">
      <w:pPr>
        <w:spacing w:after="0" w:line="360" w:lineRule="auto"/>
        <w:ind w:left="1416"/>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i/>
          <w:iCs/>
          <w:color w:val="333333"/>
          <w:sz w:val="18"/>
          <w:szCs w:val="18"/>
          <w:lang w:eastAsia="pt-BR"/>
        </w:rPr>
        <w:t>(...)</w:t>
      </w:r>
    </w:p>
    <w:p w:rsidR="008229D7" w:rsidRDefault="008229D7" w:rsidP="008229D7">
      <w:pPr>
        <w:spacing w:after="0" w:line="360" w:lineRule="auto"/>
        <w:ind w:left="1416"/>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i/>
          <w:iCs/>
          <w:color w:val="333333"/>
          <w:sz w:val="18"/>
          <w:szCs w:val="18"/>
          <w:lang w:eastAsia="pt-BR"/>
        </w:rPr>
        <w:t>XIV </w:t>
      </w:r>
      <w:r>
        <w:rPr>
          <w:rFonts w:ascii="Bookman Old Style" w:eastAsia="Times New Roman" w:hAnsi="Bookman Old Style" w:cs="Arial"/>
          <w:i/>
          <w:iCs/>
          <w:color w:val="333333"/>
          <w:sz w:val="18"/>
          <w:szCs w:val="18"/>
          <w:u w:val="single"/>
          <w:lang w:eastAsia="pt-BR"/>
        </w:rPr>
        <w:t xml:space="preserve">- os licitantes poderão deixar de apresentar os documentos de habilitação que já constem do Sistema de Cadastramento Unificado de Fornecedores – </w:t>
      </w:r>
      <w:proofErr w:type="spellStart"/>
      <w:r>
        <w:rPr>
          <w:rFonts w:ascii="Bookman Old Style" w:eastAsia="Times New Roman" w:hAnsi="Bookman Old Style" w:cs="Arial"/>
          <w:i/>
          <w:iCs/>
          <w:color w:val="333333"/>
          <w:sz w:val="18"/>
          <w:szCs w:val="18"/>
          <w:u w:val="single"/>
          <w:lang w:eastAsia="pt-BR"/>
        </w:rPr>
        <w:t>Sicaf</w:t>
      </w:r>
      <w:proofErr w:type="spellEnd"/>
      <w:r>
        <w:rPr>
          <w:rFonts w:ascii="Bookman Old Style" w:eastAsia="Times New Roman" w:hAnsi="Bookman Old Style" w:cs="Arial"/>
          <w:i/>
          <w:iCs/>
          <w:color w:val="333333"/>
          <w:sz w:val="18"/>
          <w:szCs w:val="18"/>
          <w:u w:val="single"/>
          <w:lang w:eastAsia="pt-BR"/>
        </w:rPr>
        <w:t xml:space="preserve"> e sistemas semelhantes mantidos por Estados, Distrito Federal ou Municípios</w:t>
      </w:r>
      <w:r>
        <w:rPr>
          <w:rFonts w:ascii="Bookman Old Style" w:eastAsia="Times New Roman" w:hAnsi="Bookman Old Style" w:cs="Arial"/>
          <w:i/>
          <w:iCs/>
          <w:color w:val="333333"/>
          <w:sz w:val="18"/>
          <w:szCs w:val="18"/>
          <w:lang w:eastAsia="pt-BR"/>
        </w:rPr>
        <w:t>, assegurado aos demais licitantes o direito de acesso aos dados nele constantes”. (</w:t>
      </w:r>
      <w:proofErr w:type="gramStart"/>
      <w:r>
        <w:rPr>
          <w:rFonts w:ascii="Bookman Old Style" w:eastAsia="Times New Roman" w:hAnsi="Bookman Old Style" w:cs="Arial"/>
          <w:i/>
          <w:iCs/>
          <w:color w:val="333333"/>
          <w:sz w:val="18"/>
          <w:szCs w:val="18"/>
          <w:lang w:eastAsia="pt-BR"/>
        </w:rPr>
        <w:t>grifo</w:t>
      </w:r>
      <w:proofErr w:type="gramEnd"/>
      <w:r>
        <w:rPr>
          <w:rFonts w:ascii="Bookman Old Style" w:eastAsia="Times New Roman" w:hAnsi="Bookman Old Style" w:cs="Arial"/>
          <w:i/>
          <w:iCs/>
          <w:color w:val="333333"/>
          <w:sz w:val="18"/>
          <w:szCs w:val="18"/>
          <w:lang w:eastAsia="pt-BR"/>
        </w:rPr>
        <w:t xml:space="preserve"> nosso)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Assim, é correto afirmar que os licitantes estarão dispensados de apresentar os documentos exigidos no item 9 e seguintes do Edital, especialmente aqueles cujas informações de validade estejam disponibilizadas no precitado SICAF?</w:t>
      </w:r>
    </w:p>
    <w:p w:rsidR="008229D7" w:rsidRDefault="008229D7" w:rsidP="008229D7">
      <w:pPr>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Resposta: Referente a Lei 8.666/93 no seu artigo 32, em seu parágrafo segundo:</w:t>
      </w:r>
    </w:p>
    <w:p w:rsidR="008229D7" w:rsidRDefault="008229D7" w:rsidP="008229D7">
      <w:pPr>
        <w:ind w:left="1416" w:firstLine="708"/>
        <w:rPr>
          <w:rFonts w:ascii="Segoe UI" w:eastAsia="Times New Roman" w:hAnsi="Segoe UI" w:cs="Segoe UI"/>
          <w:b/>
          <w:i/>
          <w:sz w:val="21"/>
          <w:szCs w:val="21"/>
          <w:lang w:eastAsia="pt-BR"/>
        </w:rPr>
      </w:pPr>
      <w:r>
        <w:rPr>
          <w:rFonts w:ascii="Bookman Old Style" w:eastAsia="Times New Roman" w:hAnsi="Bookman Old Style" w:cs="Arial"/>
          <w:b/>
          <w:color w:val="333333"/>
          <w:sz w:val="21"/>
          <w:szCs w:val="21"/>
          <w:lang w:eastAsia="pt-BR"/>
        </w:rPr>
        <w:t xml:space="preserve"> </w:t>
      </w:r>
      <w:r>
        <w:rPr>
          <w:rFonts w:ascii="Segoe UI" w:eastAsia="Times New Roman" w:hAnsi="Segoe UI" w:cs="Segoe UI"/>
          <w:b/>
          <w:bCs/>
          <w:i/>
          <w:sz w:val="21"/>
          <w:szCs w:val="21"/>
          <w:lang w:eastAsia="pt-BR"/>
        </w:rPr>
        <w:t>§ 2o</w:t>
      </w:r>
      <w:r>
        <w:rPr>
          <w:rFonts w:ascii="Segoe UI" w:eastAsia="Times New Roman" w:hAnsi="Segoe UI" w:cs="Segoe UI"/>
          <w:b/>
          <w:i/>
          <w:sz w:val="21"/>
          <w:szCs w:val="21"/>
          <w:lang w:eastAsia="pt-BR"/>
        </w:rPr>
        <w:t xml:space="preserve"> O certificado de registro cadastral a que se refere o § 1o do art. 36 substitui os documentos enumerados nos </w:t>
      </w:r>
      <w:proofErr w:type="spellStart"/>
      <w:r>
        <w:rPr>
          <w:rFonts w:ascii="Segoe UI" w:eastAsia="Times New Roman" w:hAnsi="Segoe UI" w:cs="Segoe UI"/>
          <w:b/>
          <w:i/>
          <w:sz w:val="21"/>
          <w:szCs w:val="21"/>
          <w:lang w:eastAsia="pt-BR"/>
        </w:rPr>
        <w:t>arts</w:t>
      </w:r>
      <w:proofErr w:type="spellEnd"/>
      <w:r>
        <w:rPr>
          <w:rFonts w:ascii="Segoe UI" w:eastAsia="Times New Roman" w:hAnsi="Segoe UI" w:cs="Segoe UI"/>
          <w:b/>
          <w:i/>
          <w:sz w:val="21"/>
          <w:szCs w:val="21"/>
          <w:lang w:eastAsia="pt-BR"/>
        </w:rPr>
        <w:t xml:space="preserve">. 28 a 31, quanto </w:t>
      </w:r>
      <w:r>
        <w:rPr>
          <w:rFonts w:ascii="Segoe UI" w:eastAsia="Times New Roman" w:hAnsi="Segoe UI" w:cs="Segoe UI"/>
          <w:b/>
          <w:i/>
          <w:sz w:val="21"/>
          <w:szCs w:val="21"/>
          <w:lang w:eastAsia="pt-BR"/>
        </w:rPr>
        <w:lastRenderedPageBreak/>
        <w:t>às informações disponibilizadas em sistema informatizado de consulta direta indicado no edital, obrigando-se a parte a declarar, sob as penalidades legais, a superveniência de fato impeditivo da habilitação. (Redação dada pela Lei nº 9.648, de 1998)</w:t>
      </w:r>
    </w:p>
    <w:p w:rsidR="008229D7" w:rsidRDefault="008229D7" w:rsidP="008229D7">
      <w:pPr>
        <w:rPr>
          <w:rFonts w:ascii="Segoe UI" w:eastAsia="Times New Roman" w:hAnsi="Segoe UI" w:cs="Segoe UI"/>
          <w:b/>
          <w:sz w:val="21"/>
          <w:szCs w:val="21"/>
          <w:lang w:eastAsia="pt-BR"/>
        </w:rPr>
      </w:pPr>
      <w:r>
        <w:rPr>
          <w:rFonts w:ascii="Segoe UI" w:eastAsia="Times New Roman" w:hAnsi="Segoe UI" w:cs="Segoe UI"/>
          <w:sz w:val="21"/>
          <w:szCs w:val="21"/>
          <w:lang w:eastAsia="pt-BR"/>
        </w:rPr>
        <w:t xml:space="preserve"> </w:t>
      </w:r>
      <w:r>
        <w:rPr>
          <w:rFonts w:ascii="Segoe UI" w:eastAsia="Times New Roman" w:hAnsi="Segoe UI" w:cs="Segoe UI"/>
          <w:b/>
          <w:sz w:val="21"/>
          <w:szCs w:val="21"/>
          <w:lang w:eastAsia="pt-BR"/>
        </w:rPr>
        <w:t xml:space="preserve">E seu parágrafo terceiro: </w:t>
      </w:r>
    </w:p>
    <w:p w:rsidR="008229D7" w:rsidRDefault="008229D7" w:rsidP="008229D7">
      <w:pPr>
        <w:spacing w:after="0" w:line="240" w:lineRule="auto"/>
        <w:ind w:left="1416" w:firstLine="708"/>
        <w:rPr>
          <w:rFonts w:ascii="Segoe UI" w:eastAsia="Times New Roman" w:hAnsi="Segoe UI" w:cs="Segoe UI"/>
          <w:b/>
          <w:i/>
          <w:sz w:val="21"/>
          <w:szCs w:val="21"/>
          <w:lang w:eastAsia="pt-BR"/>
        </w:rPr>
      </w:pPr>
      <w:r>
        <w:rPr>
          <w:rFonts w:ascii="Segoe UI" w:eastAsia="Times New Roman" w:hAnsi="Segoe UI" w:cs="Segoe UI"/>
          <w:b/>
          <w:bCs/>
          <w:i/>
          <w:sz w:val="21"/>
          <w:szCs w:val="21"/>
          <w:lang w:eastAsia="pt-BR"/>
        </w:rPr>
        <w:t>§ 3o</w:t>
      </w:r>
      <w:r>
        <w:rPr>
          <w:rFonts w:ascii="Segoe UI" w:eastAsia="Times New Roman" w:hAnsi="Segoe UI" w:cs="Segoe UI"/>
          <w:b/>
          <w:i/>
          <w:sz w:val="21"/>
          <w:szCs w:val="21"/>
          <w:lang w:eastAsia="pt-BR"/>
        </w:rPr>
        <w:t> A documentação referida neste artigo poderá ser substituída por registro cadastral emitido por órgão ou entidade pública, desde que previsto no edital e o registro tenha sido feito em obediência ao disposto nesta Lei.</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Portanto, não serão dispensados os documentos exigidos no item 9 do edital.</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INÍCIO DOS SERVIÇOS: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8) </w:t>
      </w:r>
      <w:r>
        <w:rPr>
          <w:rFonts w:ascii="Bookman Old Style" w:eastAsia="Times New Roman" w:hAnsi="Bookman Old Style" w:cs="Arial"/>
          <w:color w:val="333333"/>
          <w:sz w:val="21"/>
          <w:szCs w:val="21"/>
          <w:lang w:eastAsia="pt-BR"/>
        </w:rPr>
        <w:t> O item10.1 do edital e o item 1.16 do termo de referência informam que o banco vencedor do certame inicie a prestação de serviços em até 30 dias corridos da assinatura do contrato.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Considerando que a vencedora do certame seja outra Instituição Financeira e não a Caixa Econômica Federal, 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xml:space="preserve">- O objeto licitado pressupõe a convocação dos servidores para abertura de suas contas bancárias, com coleta de documentos, preenchimento de formulários </w:t>
      </w:r>
      <w:proofErr w:type="spellStart"/>
      <w:r>
        <w:rPr>
          <w:rFonts w:ascii="Bookman Old Style" w:eastAsia="Times New Roman" w:hAnsi="Bookman Old Style" w:cs="Arial"/>
          <w:color w:val="333333"/>
          <w:sz w:val="21"/>
          <w:szCs w:val="21"/>
          <w:lang w:eastAsia="pt-BR"/>
        </w:rPr>
        <w:t>etc</w:t>
      </w:r>
      <w:proofErr w:type="spellEnd"/>
      <w:r>
        <w:rPr>
          <w:rFonts w:ascii="Bookman Old Style" w:eastAsia="Times New Roman" w:hAnsi="Bookman Old Style" w:cs="Arial"/>
          <w:color w:val="333333"/>
          <w:sz w:val="21"/>
          <w:szCs w:val="21"/>
          <w:lang w:eastAsia="pt-BR"/>
        </w:rPr>
        <w:t>;</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Podem existir servidores em período de férias ou em gozo de licenças médicas, o que acarretará atraso no processo de abertura de 100% das contas do funcionalismo público;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Há inativos e pensionistas que podem residir em cidades diferentes de Santo Antonio do Sudoeste;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Esta obrigação depende dos próprios servidores/beneficiários, pois, ainda que orientados se estes não comparecerem ao banco não será possível o cumprimento desta obrigação, ou se comparecerem todos juntos num determinado momento será impossível o atendimento sem causar um caos;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O processo envolve mais de 700 pessoas, que terão que se deslocar em horário de trabalho para formalização dos contratos de abertura de conta e retirada dos tangíveis (cartões, talonários de cheques etc.) necessários à movimentação das contas;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O prazo indicado mostra-se demasiadamente exíguo para que todos possam comparecer ao banco e apresentar documentos para proceder a abertura de suas contas;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lastRenderedPageBreak/>
        <w:t>Diante destes argumentos, solicitamos que os prazos de abertura de contas e comparecimento dos servidores sejam especificados em conjunto com o banco vencedor através de cronograma, podendo ser desconsiderado o prazo máximo de 30 dias, conforme previsto nos itens 10.1 do edital e o 1.16 do termo de referência.</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 xml:space="preserve"> Resposta: O prazo máximo para prestação dos serviços deverá </w:t>
      </w:r>
      <w:proofErr w:type="gramStart"/>
      <w:r>
        <w:rPr>
          <w:rFonts w:ascii="Bookman Old Style" w:eastAsia="Times New Roman" w:hAnsi="Bookman Old Style" w:cs="Arial"/>
          <w:b/>
          <w:color w:val="333333"/>
          <w:sz w:val="21"/>
          <w:szCs w:val="21"/>
          <w:lang w:eastAsia="pt-BR"/>
        </w:rPr>
        <w:t>obedecer o</w:t>
      </w:r>
      <w:proofErr w:type="gramEnd"/>
      <w:r>
        <w:rPr>
          <w:rFonts w:ascii="Bookman Old Style" w:eastAsia="Times New Roman" w:hAnsi="Bookman Old Style" w:cs="Arial"/>
          <w:b/>
          <w:color w:val="333333"/>
          <w:sz w:val="21"/>
          <w:szCs w:val="21"/>
          <w:lang w:eastAsia="pt-BR"/>
        </w:rPr>
        <w:t xml:space="preserve"> item 10.1 do edital, sendo que tais coletas de documentos, preenchimentos de formulários e processos deverão ser iniciados dentro do prazo de 30 dias.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9)</w:t>
      </w:r>
      <w:r>
        <w:rPr>
          <w:rFonts w:ascii="Bookman Old Style" w:eastAsia="Times New Roman" w:hAnsi="Bookman Old Style" w:cs="Arial"/>
          <w:color w:val="333333"/>
          <w:sz w:val="21"/>
          <w:szCs w:val="21"/>
          <w:lang w:eastAsia="pt-BR"/>
        </w:rPr>
        <w:t> Caso positivo na pergunta anterior, pedimos a gentileza de retificar a cláusula quarta, em seu parágrafo primeiro da minuta contratual.</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A clausula da minuta será ajustada na celebração do contrato.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FOLHA DE PAGAMENTO:</w:t>
      </w:r>
    </w:p>
    <w:p w:rsidR="008229D7" w:rsidRDefault="008229D7" w:rsidP="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10)</w:t>
      </w:r>
      <w:r>
        <w:rPr>
          <w:rFonts w:ascii="Bookman Old Style" w:eastAsia="Times New Roman" w:hAnsi="Bookman Old Style" w:cs="Arial"/>
          <w:color w:val="333333"/>
          <w:sz w:val="21"/>
          <w:szCs w:val="21"/>
          <w:lang w:eastAsia="pt-BR"/>
        </w:rPr>
        <w:t> Favor apontar a estratificação da folha (com base no </w:t>
      </w:r>
      <w:r>
        <w:rPr>
          <w:rFonts w:ascii="Bookman Old Style" w:eastAsia="Times New Roman" w:hAnsi="Bookman Old Style" w:cs="Arial"/>
          <w:color w:val="333333"/>
          <w:sz w:val="21"/>
          <w:szCs w:val="21"/>
          <w:u w:val="single"/>
          <w:lang w:eastAsia="pt-BR"/>
        </w:rPr>
        <w:t>salário </w:t>
      </w:r>
      <w:r>
        <w:rPr>
          <w:rFonts w:ascii="Bookman Old Style" w:eastAsia="Times New Roman" w:hAnsi="Bookman Old Style" w:cs="Arial"/>
          <w:b/>
          <w:bCs/>
          <w:color w:val="333333"/>
          <w:sz w:val="21"/>
          <w:szCs w:val="21"/>
          <w:u w:val="single"/>
          <w:lang w:eastAsia="pt-BR"/>
        </w:rPr>
        <w:t>líquido</w:t>
      </w:r>
      <w:r>
        <w:rPr>
          <w:rFonts w:ascii="Bookman Old Style" w:eastAsia="Times New Roman" w:hAnsi="Bookman Old Style" w:cs="Arial"/>
          <w:color w:val="333333"/>
          <w:sz w:val="21"/>
          <w:szCs w:val="21"/>
          <w:lang w:eastAsia="pt-BR"/>
        </w:rPr>
        <w:t>):</w:t>
      </w:r>
    </w:p>
    <w:p w:rsidR="008229D7" w:rsidRDefault="008229D7" w:rsidP="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bl>
      <w:tblPr>
        <w:tblW w:w="0" w:type="auto"/>
        <w:tblInd w:w="900" w:type="dxa"/>
        <w:tblCellMar>
          <w:left w:w="0" w:type="dxa"/>
          <w:right w:w="0" w:type="dxa"/>
        </w:tblCellMar>
        <w:tblLook w:val="04A0" w:firstRow="1" w:lastRow="0" w:firstColumn="1" w:lastColumn="0" w:noHBand="0" w:noVBand="1"/>
      </w:tblPr>
      <w:tblGrid>
        <w:gridCol w:w="4030"/>
        <w:gridCol w:w="1800"/>
      </w:tblGrid>
      <w:tr w:rsidR="008229D7" w:rsidTr="008229D7">
        <w:trPr>
          <w:trHeight w:val="284"/>
        </w:trPr>
        <w:tc>
          <w:tcPr>
            <w:tcW w:w="403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Faixa Salarial </w:t>
            </w:r>
            <w:r>
              <w:rPr>
                <w:rFonts w:ascii="Bookman Old Style" w:eastAsia="Times New Roman" w:hAnsi="Bookman Old Style" w:cs="Arial"/>
                <w:color w:val="333333"/>
                <w:sz w:val="21"/>
                <w:szCs w:val="21"/>
                <w:lang w:eastAsia="pt-BR"/>
              </w:rPr>
              <w:t>(valor líquido da folha)</w:t>
            </w:r>
          </w:p>
        </w:tc>
        <w:tc>
          <w:tcPr>
            <w:tcW w:w="180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outlineLvl w:val="0"/>
              <w:rPr>
                <w:rFonts w:ascii="Bookman Old Style" w:eastAsia="Times New Roman" w:hAnsi="Bookman Old Style" w:cs="Arial"/>
                <w:b/>
                <w:bCs/>
                <w:color w:val="333333"/>
                <w:kern w:val="36"/>
                <w:sz w:val="32"/>
                <w:szCs w:val="32"/>
                <w:lang w:eastAsia="pt-BR"/>
              </w:rPr>
            </w:pPr>
            <w:r>
              <w:rPr>
                <w:rFonts w:ascii="Bookman Old Style" w:eastAsia="Times New Roman" w:hAnsi="Bookman Old Style" w:cs="Arial"/>
                <w:b/>
                <w:bCs/>
                <w:color w:val="333333"/>
                <w:kern w:val="36"/>
                <w:lang w:val="x-none" w:eastAsia="pt-BR"/>
              </w:rPr>
              <w:t>Qtde. Servidores</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Até R$ 800,00</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45 </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Entre R$ 800,01 e R$ 1.500,00</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330 </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Entre R$ 1.500,01 e R$ 3.000,00</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273 </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Entre R$ 3.000,01 e R$ 5.000,00</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56 </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Entre R$ 5.000,01 e R$ 10.000,00</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5 </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Acima de R$ 10.000,00</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c>
      </w:tr>
      <w:tr w:rsidR="008229D7" w:rsidTr="008229D7">
        <w:trPr>
          <w:trHeight w:val="284"/>
        </w:trPr>
        <w:tc>
          <w:tcPr>
            <w:tcW w:w="403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TOTAL (conforme edital)      </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c>
      </w:tr>
    </w:tbl>
    <w:p w:rsidR="008229D7" w:rsidRDefault="008229D7" w:rsidP="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11)  </w:t>
      </w:r>
      <w:r>
        <w:rPr>
          <w:rFonts w:ascii="Bookman Old Style" w:eastAsia="Times New Roman" w:hAnsi="Bookman Old Style" w:cs="Arial"/>
          <w:color w:val="333333"/>
          <w:sz w:val="21"/>
          <w:szCs w:val="21"/>
          <w:lang w:eastAsia="pt-BR"/>
        </w:rPr>
        <w:t>Favor apontar o vínculo empregatício dos servidores com a Prefeitura, da seguinte forma:</w:t>
      </w:r>
    </w:p>
    <w:p w:rsidR="008229D7" w:rsidRDefault="008229D7" w:rsidP="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bl>
      <w:tblPr>
        <w:tblW w:w="0" w:type="auto"/>
        <w:tblInd w:w="900" w:type="dxa"/>
        <w:tblCellMar>
          <w:left w:w="0" w:type="dxa"/>
          <w:right w:w="0" w:type="dxa"/>
        </w:tblCellMar>
        <w:tblLook w:val="04A0" w:firstRow="1" w:lastRow="0" w:firstColumn="1" w:lastColumn="0" w:noHBand="0" w:noVBand="1"/>
      </w:tblPr>
      <w:tblGrid>
        <w:gridCol w:w="4390"/>
        <w:gridCol w:w="1800"/>
      </w:tblGrid>
      <w:tr w:rsidR="008229D7" w:rsidTr="008229D7">
        <w:trPr>
          <w:trHeight w:val="284"/>
        </w:trPr>
        <w:tc>
          <w:tcPr>
            <w:tcW w:w="439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Vínculo</w:t>
            </w:r>
          </w:p>
        </w:tc>
        <w:tc>
          <w:tcPr>
            <w:tcW w:w="1800"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outlineLvl w:val="0"/>
              <w:rPr>
                <w:rFonts w:ascii="Bookman Old Style" w:eastAsia="Times New Roman" w:hAnsi="Bookman Old Style" w:cs="Arial"/>
                <w:b/>
                <w:bCs/>
                <w:color w:val="333333"/>
                <w:kern w:val="36"/>
                <w:sz w:val="32"/>
                <w:szCs w:val="32"/>
                <w:lang w:eastAsia="pt-BR"/>
              </w:rPr>
            </w:pPr>
            <w:r>
              <w:rPr>
                <w:rFonts w:ascii="Bookman Old Style" w:eastAsia="Times New Roman" w:hAnsi="Bookman Old Style" w:cs="Arial"/>
                <w:b/>
                <w:bCs/>
                <w:color w:val="333333"/>
                <w:kern w:val="36"/>
                <w:lang w:val="x-none" w:eastAsia="pt-BR"/>
              </w:rPr>
              <w:t>Qtde. Servidores</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Estatutários (ativos)</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451 </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Celetistas (ativos)</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173</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Comissionados c/ estabilidade (ativos)</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2</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Comissionados s/ estabilidade (ativos)</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21</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Estagiários (ativos)</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Temporários (ativos)</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Aposentados (</w:t>
            </w:r>
            <w:r>
              <w:rPr>
                <w:rFonts w:ascii="Bookman Old Style" w:eastAsia="Times New Roman" w:hAnsi="Bookman Old Style" w:cs="Arial"/>
                <w:color w:val="333333"/>
                <w:sz w:val="21"/>
                <w:szCs w:val="21"/>
                <w:u w:val="single"/>
                <w:lang w:eastAsia="pt-BR"/>
              </w:rPr>
              <w:t>se incluídos na licitação)</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44 </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lastRenderedPageBreak/>
              <w:t>Pensionistas (</w:t>
            </w:r>
            <w:r>
              <w:rPr>
                <w:rFonts w:ascii="Bookman Old Style" w:eastAsia="Times New Roman" w:hAnsi="Bookman Old Style" w:cs="Arial"/>
                <w:color w:val="333333"/>
                <w:sz w:val="21"/>
                <w:szCs w:val="21"/>
                <w:u w:val="single"/>
                <w:lang w:eastAsia="pt-BR"/>
              </w:rPr>
              <w:t>se incluídos na licitação</w:t>
            </w:r>
            <w:r>
              <w:rPr>
                <w:rFonts w:ascii="Bookman Old Style" w:eastAsia="Times New Roman" w:hAnsi="Bookman Old Style" w:cs="Arial"/>
                <w:color w:val="333333"/>
                <w:sz w:val="21"/>
                <w:szCs w:val="21"/>
                <w:lang w:eastAsia="pt-BR"/>
              </w:rPr>
              <w:t>)</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18 </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Outros (favor especificar)</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c>
      </w:tr>
      <w:tr w:rsidR="008229D7" w:rsidTr="008229D7">
        <w:trPr>
          <w:trHeight w:val="284"/>
        </w:trPr>
        <w:tc>
          <w:tcPr>
            <w:tcW w:w="439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TOTAL (conforme edital)</w:t>
            </w:r>
          </w:p>
        </w:tc>
        <w:tc>
          <w:tcPr>
            <w:tcW w:w="1800" w:type="dxa"/>
            <w:tcBorders>
              <w:top w:val="nil"/>
              <w:left w:val="nil"/>
              <w:bottom w:val="single" w:sz="8" w:space="0" w:color="auto"/>
              <w:right w:val="nil"/>
            </w:tcBorders>
            <w:tcMar>
              <w:top w:w="0" w:type="dxa"/>
              <w:left w:w="70" w:type="dxa"/>
              <w:bottom w:w="0" w:type="dxa"/>
              <w:right w:w="70" w:type="dxa"/>
            </w:tcMar>
            <w:vAlign w:val="center"/>
            <w:hideMark/>
          </w:tcPr>
          <w:p w:rsidR="008229D7" w:rsidRDefault="008229D7">
            <w:pPr>
              <w:spacing w:after="0" w:line="360" w:lineRule="auto"/>
              <w:jc w:val="right"/>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tc>
      </w:tr>
    </w:tbl>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12) </w:t>
      </w:r>
      <w:r>
        <w:rPr>
          <w:rFonts w:ascii="Bookman Old Style" w:eastAsia="Times New Roman" w:hAnsi="Bookman Old Style" w:cs="Arial"/>
          <w:color w:val="333333"/>
          <w:sz w:val="21"/>
          <w:szCs w:val="21"/>
          <w:lang w:eastAsia="pt-BR"/>
        </w:rPr>
        <w:t>O número de servidores previsto no edital corresponde a matrículas (funcionais/pagamentos) ou a pessoas (</w:t>
      </w:r>
      <w:proofErr w:type="spellStart"/>
      <w:r>
        <w:rPr>
          <w:rFonts w:ascii="Bookman Old Style" w:eastAsia="Times New Roman" w:hAnsi="Bookman Old Style" w:cs="Arial"/>
          <w:color w:val="333333"/>
          <w:sz w:val="21"/>
          <w:szCs w:val="21"/>
          <w:lang w:eastAsia="pt-BR"/>
        </w:rPr>
        <w:t>CPF’s</w:t>
      </w:r>
      <w:proofErr w:type="spellEnd"/>
      <w:r>
        <w:rPr>
          <w:rFonts w:ascii="Bookman Old Style" w:eastAsia="Times New Roman" w:hAnsi="Bookman Old Style" w:cs="Arial"/>
          <w:color w:val="333333"/>
          <w:sz w:val="21"/>
          <w:szCs w:val="21"/>
          <w:lang w:eastAsia="pt-BR"/>
        </w:rPr>
        <w:t>)? Caso se refira a matrículas, qual o número de pessoas/</w:t>
      </w:r>
      <w:proofErr w:type="spellStart"/>
      <w:r>
        <w:rPr>
          <w:rFonts w:ascii="Bookman Old Style" w:eastAsia="Times New Roman" w:hAnsi="Bookman Old Style" w:cs="Arial"/>
          <w:color w:val="333333"/>
          <w:sz w:val="21"/>
          <w:szCs w:val="21"/>
          <w:lang w:eastAsia="pt-BR"/>
        </w:rPr>
        <w:t>CPF’s</w:t>
      </w:r>
      <w:proofErr w:type="spellEnd"/>
      <w:r>
        <w:rPr>
          <w:rFonts w:ascii="Bookman Old Style" w:eastAsia="Times New Roman" w:hAnsi="Bookman Old Style" w:cs="Arial"/>
          <w:color w:val="333333"/>
          <w:sz w:val="21"/>
          <w:szCs w:val="21"/>
          <w:lang w:eastAsia="pt-BR"/>
        </w:rPr>
        <w:t>?</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 xml:space="preserve"> Resposta: Corresponde a matriculas. </w:t>
      </w:r>
      <w:r>
        <w:rPr>
          <w:rFonts w:ascii="Bookman Old Style" w:eastAsia="Times New Roman" w:hAnsi="Bookman Old Style" w:cs="Arial"/>
          <w:b/>
          <w:sz w:val="21"/>
          <w:szCs w:val="21"/>
          <w:lang w:eastAsia="pt-BR"/>
        </w:rPr>
        <w:t>658 pessoas.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DA PROPOSTA: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13) </w:t>
      </w:r>
      <w:r>
        <w:rPr>
          <w:rFonts w:ascii="Bookman Old Style" w:eastAsia="Times New Roman" w:hAnsi="Bookman Old Style" w:cs="Arial"/>
          <w:color w:val="333333"/>
          <w:sz w:val="21"/>
          <w:szCs w:val="21"/>
          <w:lang w:eastAsia="pt-BR"/>
        </w:rPr>
        <w:t>O item 7.1 do edital exige que, além da entrega física da ‘Proposta de Preço</w:t>
      </w:r>
      <w:proofErr w:type="gramStart"/>
      <w:r>
        <w:rPr>
          <w:rFonts w:ascii="Bookman Old Style" w:eastAsia="Times New Roman" w:hAnsi="Bookman Old Style" w:cs="Arial"/>
          <w:color w:val="333333"/>
          <w:sz w:val="21"/>
          <w:szCs w:val="21"/>
          <w:lang w:eastAsia="pt-BR"/>
        </w:rPr>
        <w:t>’ ,</w:t>
      </w:r>
      <w:proofErr w:type="gramEnd"/>
      <w:r>
        <w:rPr>
          <w:rFonts w:ascii="Bookman Old Style" w:eastAsia="Times New Roman" w:hAnsi="Bookman Old Style" w:cs="Arial"/>
          <w:color w:val="333333"/>
          <w:sz w:val="21"/>
          <w:szCs w:val="21"/>
          <w:lang w:eastAsia="pt-BR"/>
        </w:rPr>
        <w:t xml:space="preserve"> será necessária a entrega da proposta gravada em CD ou Pen Drive.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Ocorre que, por motivos de segurança, não é possível gravar este tipo de mídia nos computadores desta Instituição, e, ao executar tal procedimento em um computador externo fica comprometido o sigilo de dados internos. Além disto, tal previsão não encontra respaldo na Lei 10.520/02.</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Diante disto, bastará a entrega da Proposta de Preço nos termos do modelo disponibilizado no edital em envelope lacrado, sendo as demais orientações (CD/ Pen Drive/ DVD, Anexo Complementar impresso) facultativas?</w:t>
      </w:r>
    </w:p>
    <w:p w:rsidR="008229D7" w:rsidRDefault="008229D7" w:rsidP="008229D7">
      <w:pPr>
        <w:pStyle w:val="ParagraphStyle"/>
        <w:jc w:val="both"/>
        <w:rPr>
          <w:rFonts w:ascii="Bookman Old Style" w:hAnsi="Bookman Old Style" w:cs="Bookman Old Style"/>
          <w:b/>
          <w:sz w:val="22"/>
          <w:szCs w:val="22"/>
        </w:rPr>
      </w:pPr>
      <w:r>
        <w:rPr>
          <w:rFonts w:ascii="Bookman Old Style" w:eastAsia="Times New Roman" w:hAnsi="Bookman Old Style"/>
          <w:b/>
          <w:color w:val="333333"/>
          <w:sz w:val="21"/>
          <w:szCs w:val="21"/>
        </w:rPr>
        <w:t xml:space="preserve">Resposta: É </w:t>
      </w:r>
      <w:r>
        <w:rPr>
          <w:rFonts w:ascii="Bookman Old Style" w:hAnsi="Bookman Old Style" w:cs="Bookman Old Style"/>
          <w:b/>
          <w:bCs/>
          <w:sz w:val="22"/>
          <w:szCs w:val="22"/>
        </w:rPr>
        <w:t>imprescindível</w:t>
      </w:r>
      <w:r>
        <w:rPr>
          <w:rFonts w:ascii="Bookman Old Style" w:hAnsi="Bookman Old Style" w:cs="Bookman Old Style"/>
          <w:b/>
          <w:sz w:val="22"/>
          <w:szCs w:val="22"/>
        </w:rPr>
        <w:t xml:space="preserve"> a mídia digital para gravação eletrônica no sistema, porém não é motivo de desclassificação.</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14)</w:t>
      </w:r>
      <w:r>
        <w:rPr>
          <w:rFonts w:ascii="Bookman Old Style" w:eastAsia="Times New Roman" w:hAnsi="Bookman Old Style" w:cs="Arial"/>
          <w:color w:val="333333"/>
          <w:sz w:val="21"/>
          <w:szCs w:val="21"/>
          <w:lang w:eastAsia="pt-BR"/>
        </w:rPr>
        <w:t> No</w:t>
      </w:r>
      <w:proofErr w:type="gramEnd"/>
      <w:r>
        <w:rPr>
          <w:rFonts w:ascii="Bookman Old Style" w:eastAsia="Times New Roman" w:hAnsi="Bookman Old Style" w:cs="Arial"/>
          <w:color w:val="333333"/>
          <w:sz w:val="21"/>
          <w:szCs w:val="21"/>
          <w:lang w:eastAsia="pt-BR"/>
        </w:rPr>
        <w:t xml:space="preserve"> mesmo sentido da pergunta anterior, o item 7.1.1 também poderá ser dispensado?</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Vide questão anterior.</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BLOQUEIO/DESBLOQUEIO DE PAGAMENTOS: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15)</w:t>
      </w:r>
      <w:r>
        <w:rPr>
          <w:rFonts w:ascii="Bookman Old Style" w:eastAsia="Times New Roman" w:hAnsi="Bookman Old Style" w:cs="Arial"/>
          <w:color w:val="333333"/>
          <w:sz w:val="21"/>
          <w:szCs w:val="21"/>
          <w:lang w:eastAsia="pt-BR"/>
        </w:rPr>
        <w:t> O item 1.29 do termo de referência trata do assunto “bloqueio e desbloqueio de créditos”.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Como é sabido, efetuado o crédito na conta corrente do cliente, tal recurso passa a ser propriedade do mesmo, não cabendo ao Banco (ou terceiros, ainda que seja o órgão pagador) reivindicar seu estorno/bloqueio, salvo com autorização prévia e expressa do correntista.</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lastRenderedPageBreak/>
        <w:t>Este entendimento já foi, inclusive, manifestado pelo Superior Tribunal de Justiça (Recurso Especial n. 130.284 - Relator Min. Waldemar Zveiter).</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 Resolução BACEN n. 3.695/09 (art. 3º) veda às Instituições Financeiras a realização de débitos em contas correntes sem prévia autorização do cliente.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Assim, devemos interpretar dos itens do Edital que eventuais restituições ""bloqueios"" ou ""desbloqueios"" ocorrerão antes do repasse às contas correntes dos servidores?</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Resposta: Sim, está correto o entendimento.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ISENÇÃO DE TARIFA PJ:</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16)</w:t>
      </w:r>
      <w:r>
        <w:rPr>
          <w:rFonts w:ascii="Bookman Old Style" w:eastAsia="Times New Roman" w:hAnsi="Bookman Old Style" w:cs="Arial"/>
          <w:color w:val="333333"/>
          <w:sz w:val="21"/>
          <w:szCs w:val="21"/>
          <w:lang w:eastAsia="pt-BR"/>
        </w:rPr>
        <w:t> Está correto o entendimento de que o serviço de processamento e liquidação da folha do funcionalismo público municipal dar-se-á por meio de crédito em conta bancária de titularidade dos respectivos beneficiários e que, portanto, a isenção de cobrança de tarifas para o Município restringe-se a esta hipótese de prestação de serviço, não abrangendo outras formas e/ou serviços correlatos (p.ex.: fechamento de câmbio, arrecadação de tributos, serviços esses disciplinados por contratos específicos)?</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color w:val="333333"/>
          <w:sz w:val="21"/>
          <w:szCs w:val="21"/>
          <w:lang w:eastAsia="pt-BR"/>
        </w:rPr>
        <w:t>Resposta: Sim, está correto o entendimento.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FLOATING:</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17)</w:t>
      </w:r>
      <w:r>
        <w:rPr>
          <w:rFonts w:ascii="Bookman Old Style" w:eastAsia="Times New Roman" w:hAnsi="Bookman Old Style" w:cs="Arial"/>
          <w:color w:val="333333"/>
          <w:sz w:val="21"/>
          <w:szCs w:val="21"/>
          <w:lang w:eastAsia="pt-BR"/>
        </w:rPr>
        <w:t> O edital de pregão nº 74/2019 não prevê em que momento a Prefeitura irá disponibilizar os recursos financeiros ao banco vencedor para que os valores sejam creditados aos servidores, seja na própria instituição contratada, seja na indicada pela regra da portabilidade.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 prática adotada pelo mercado é de pelo menos 1 (um) dia útil de antecedência, para que sejam realizados testes e simulações para a execução do “arquivo de pagamento”.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Assim, solicitamos confirmar o entendimento de que a Prefeitura repassará ao contratado os recursos necessários ao processamento da folha com, pelo menos, 1 dia útil de antecedência da data determinada para crédito nas contas salários dos servidores?</w:t>
      </w:r>
    </w:p>
    <w:p w:rsidR="008229D7" w:rsidRDefault="008229D7" w:rsidP="008229D7">
      <w:pPr>
        <w:pStyle w:val="ParagraphStyle"/>
        <w:tabs>
          <w:tab w:val="left" w:pos="10170"/>
        </w:tabs>
        <w:spacing w:line="276" w:lineRule="auto"/>
        <w:jc w:val="both"/>
        <w:rPr>
          <w:rFonts w:ascii="Bookman Old Style" w:hAnsi="Bookman Old Style"/>
          <w:sz w:val="20"/>
          <w:szCs w:val="20"/>
        </w:rPr>
      </w:pPr>
      <w:r>
        <w:rPr>
          <w:rFonts w:ascii="Bookman Old Style" w:eastAsia="Times New Roman" w:hAnsi="Bookman Old Style"/>
          <w:color w:val="333333"/>
          <w:sz w:val="21"/>
          <w:szCs w:val="21"/>
        </w:rPr>
        <w:t> </w:t>
      </w:r>
      <w:r>
        <w:rPr>
          <w:rFonts w:ascii="Times New Roman" w:eastAsia="Times New Roman" w:hAnsi="Times New Roman" w:cs="Times New Roman"/>
          <w:b/>
          <w:color w:val="333333"/>
        </w:rPr>
        <w:t xml:space="preserve">Resposta: </w:t>
      </w:r>
      <w:r>
        <w:rPr>
          <w:rFonts w:ascii="Times New Roman" w:hAnsi="Times New Roman" w:cs="Times New Roman"/>
          <w:b/>
          <w:szCs w:val="20"/>
        </w:rPr>
        <w:t xml:space="preserve">O Município encaminhará à instituição financeira, com antecedência mínima de 01 (um) dia útil da data do efetivo pagamento, através de sistemas eficientes e seguros da instituição financeira, com recibo de entrega imediato, </w:t>
      </w:r>
      <w:r>
        <w:rPr>
          <w:rFonts w:ascii="Times New Roman" w:hAnsi="Times New Roman" w:cs="Times New Roman"/>
          <w:b/>
          <w:szCs w:val="20"/>
        </w:rPr>
        <w:lastRenderedPageBreak/>
        <w:t>arquivos contendo os valores individualizados dos créditos do funcionalismo.</w:t>
      </w:r>
      <w:r>
        <w:rPr>
          <w:rFonts w:ascii="Bookman Old Style" w:hAnsi="Bookman Old Style"/>
          <w:szCs w:val="20"/>
        </w:rPr>
        <w:t xml:space="preserve"> </w:t>
      </w:r>
    </w:p>
    <w:p w:rsidR="008229D7" w:rsidRDefault="008229D7" w:rsidP="008229D7">
      <w:pPr>
        <w:spacing w:after="0" w:line="240" w:lineRule="auto"/>
        <w:ind w:right="217"/>
        <w:jc w:val="both"/>
        <w:rPr>
          <w:rFonts w:ascii="Calibri" w:eastAsia="Times New Roman" w:hAnsi="Calibri" w:cs="Calibri"/>
          <w:color w:val="333333"/>
          <w:lang w:eastAsia="pt-BR"/>
        </w:rPr>
      </w:pPr>
      <w:r>
        <w:rPr>
          <w:rFonts w:ascii="Calibri" w:eastAsia="Times New Roman" w:hAnsi="Calibri" w:cs="Calibri"/>
          <w:color w:val="333333"/>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DA RECISÃO: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18) </w:t>
      </w:r>
      <w:r>
        <w:rPr>
          <w:rFonts w:ascii="Bookman Old Style" w:eastAsia="Times New Roman" w:hAnsi="Bookman Old Style" w:cs="Arial"/>
          <w:color w:val="333333"/>
          <w:sz w:val="21"/>
          <w:szCs w:val="21"/>
          <w:lang w:eastAsia="pt-BR"/>
        </w:rPr>
        <w:t>Diante do princípio da estrita legalidade e da segurança jurídica, pedimos confirmar o entendimento de que as hipóteses de extinção/rescisão serão exclusivamente as elencadas no rol taxativo do art. 78 e seus incisos da Lei 8.666/93?</w:t>
      </w:r>
    </w:p>
    <w:p w:rsidR="008229D7" w:rsidRDefault="008229D7" w:rsidP="008229D7">
      <w:pPr>
        <w:spacing w:after="0" w:line="360" w:lineRule="auto"/>
        <w:jc w:val="both"/>
        <w:rPr>
          <w:rFonts w:ascii="Bookman Old Style" w:eastAsia="Times New Roman" w:hAnsi="Bookman Old Style" w:cs="Arial"/>
          <w:b/>
          <w:bCs/>
          <w:color w:val="333333"/>
          <w:sz w:val="21"/>
          <w:szCs w:val="21"/>
          <w:lang w:eastAsia="pt-BR"/>
        </w:rPr>
      </w:pPr>
      <w:r>
        <w:rPr>
          <w:rFonts w:ascii="Bookman Old Style" w:eastAsia="Times New Roman" w:hAnsi="Bookman Old Style" w:cs="Arial"/>
          <w:b/>
          <w:bCs/>
          <w:color w:val="333333"/>
          <w:sz w:val="21"/>
          <w:szCs w:val="21"/>
          <w:lang w:eastAsia="pt-BR"/>
        </w:rPr>
        <w:t> Resposta: Sim, está correto seu entendimento.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DEMAIS QUESTIONAMENTOS: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19) </w:t>
      </w:r>
      <w:r>
        <w:rPr>
          <w:rFonts w:ascii="Bookman Old Style" w:eastAsia="Times New Roman" w:hAnsi="Bookman Old Style" w:cs="Arial"/>
          <w:color w:val="333333"/>
          <w:sz w:val="21"/>
          <w:szCs w:val="21"/>
          <w:lang w:eastAsia="pt-BR"/>
        </w:rPr>
        <w:t>O item 1.47 e seus subitens do termo de referência fazem menção a entrega de materiais.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Ocorre que o objeto do pregão nº 74/2019 refere-se ao gerenciamento e processamento da folha dos servidores de Santo Antonio do Sudoeste.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Sendo assim, solicitamos a exclusão dos referidos itens e seus subitens.</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19.1</w:t>
      </w:r>
      <w:proofErr w:type="gramStart"/>
      <w:r>
        <w:rPr>
          <w:rFonts w:ascii="Bookman Old Style" w:eastAsia="Times New Roman" w:hAnsi="Bookman Old Style" w:cs="Arial"/>
          <w:b/>
          <w:bCs/>
          <w:color w:val="333333"/>
          <w:sz w:val="21"/>
          <w:szCs w:val="21"/>
          <w:lang w:eastAsia="pt-BR"/>
        </w:rPr>
        <w:t>)</w:t>
      </w:r>
      <w:r>
        <w:rPr>
          <w:rFonts w:ascii="Bookman Old Style" w:eastAsia="Times New Roman" w:hAnsi="Bookman Old Style" w:cs="Arial"/>
          <w:color w:val="333333"/>
          <w:sz w:val="21"/>
          <w:szCs w:val="21"/>
          <w:lang w:eastAsia="pt-BR"/>
        </w:rPr>
        <w:t> Caso</w:t>
      </w:r>
      <w:proofErr w:type="gramEnd"/>
      <w:r>
        <w:rPr>
          <w:rFonts w:ascii="Bookman Old Style" w:eastAsia="Times New Roman" w:hAnsi="Bookman Old Style" w:cs="Arial"/>
          <w:color w:val="333333"/>
          <w:sz w:val="21"/>
          <w:szCs w:val="21"/>
          <w:lang w:eastAsia="pt-BR"/>
        </w:rPr>
        <w:t xml:space="preserve"> positivo na pergunta anterior, solicitamos a exclusão do item 1.47 e seus subitens da cláusula primeira da minuta contratual.</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 xml:space="preserve">Resposta: Como seguem os artigos 73 a 76 da lei de licitações, Lei 8.666/93, refere-se </w:t>
      </w:r>
      <w:proofErr w:type="gramStart"/>
      <w:r>
        <w:rPr>
          <w:rFonts w:ascii="Bookman Old Style" w:eastAsia="Times New Roman" w:hAnsi="Bookman Old Style" w:cs="Arial"/>
          <w:b/>
          <w:color w:val="333333"/>
          <w:sz w:val="21"/>
          <w:szCs w:val="21"/>
          <w:lang w:eastAsia="pt-BR"/>
        </w:rPr>
        <w:t>a</w:t>
      </w:r>
      <w:proofErr w:type="gramEnd"/>
      <w:r>
        <w:rPr>
          <w:rFonts w:ascii="Bookman Old Style" w:eastAsia="Times New Roman" w:hAnsi="Bookman Old Style" w:cs="Arial"/>
          <w:b/>
          <w:color w:val="333333"/>
          <w:sz w:val="21"/>
          <w:szCs w:val="21"/>
          <w:lang w:eastAsia="pt-BR"/>
        </w:rPr>
        <w:t xml:space="preserve"> qualidade nas compras e serviços, portanto mantem-se os itens do edital.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20)</w:t>
      </w:r>
      <w:r>
        <w:rPr>
          <w:rFonts w:ascii="Bookman Old Style" w:eastAsia="Times New Roman" w:hAnsi="Bookman Old Style" w:cs="Arial"/>
          <w:color w:val="333333"/>
          <w:sz w:val="21"/>
          <w:szCs w:val="21"/>
          <w:lang w:eastAsia="pt-BR"/>
        </w:rPr>
        <w:t> A cláusula quinta da minuta contratual em seu parágrafo primeiro menciona que a Prefeitura irá efetuar o pagamento ajustado.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Ocorre que o edital de pregão nº 74/2019 traz a lógica inversa, ou seja, a Instituição Financeira vencedora do certame que irá efetuar o pagamento para a Prefeitura. Sendo assim solicitamos a retificação do mesmo.</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color w:val="333333"/>
          <w:sz w:val="21"/>
          <w:szCs w:val="21"/>
          <w:lang w:eastAsia="pt-BR"/>
        </w:rPr>
        <w:t>Resposta: A clausula da minuta será ajustada na celebração do contrato.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21)</w:t>
      </w:r>
      <w:r>
        <w:rPr>
          <w:rFonts w:ascii="Bookman Old Style" w:eastAsia="Times New Roman" w:hAnsi="Bookman Old Style" w:cs="Arial"/>
          <w:color w:val="333333"/>
          <w:sz w:val="21"/>
          <w:szCs w:val="21"/>
          <w:lang w:eastAsia="pt-BR"/>
        </w:rPr>
        <w:t> O item 1.28 do termo de referência prevê que a instituição financeira vencedora do certame garanta que no dia do pagamento, um milhão de reais em espécie.</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lastRenderedPageBreak/>
        <w:t>Ocorre que para o bom funcionamento de uma agência bancária já é feito uma previsão de valores para atendimento diário, ademais os clientes/servidores não necessariamente retiram o valor de suas contas em dia de pagamento.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Em alguns casos será efetuada a portabilidade salarial, em outros o servidor poderá optar para pagamento de suas despesas através da conta, ao invés do saque, etc.</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color w:val="333333"/>
          <w:sz w:val="21"/>
          <w:szCs w:val="21"/>
          <w:lang w:eastAsia="pt-BR"/>
        </w:rPr>
        <w:t>Diante do exposto, pedimos a exclusão do referido item do termo de referência e da minuta contratual.</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r>
        <w:rPr>
          <w:rFonts w:ascii="Bookman Old Style" w:eastAsia="Times New Roman" w:hAnsi="Bookman Old Style" w:cs="Arial"/>
          <w:b/>
          <w:bCs/>
          <w:color w:val="333333"/>
          <w:sz w:val="21"/>
          <w:szCs w:val="21"/>
          <w:lang w:eastAsia="pt-BR"/>
        </w:rPr>
        <w:t> </w:t>
      </w:r>
      <w:r>
        <w:rPr>
          <w:rFonts w:ascii="Bookman Old Style" w:eastAsia="Times New Roman" w:hAnsi="Bookman Old Style" w:cs="Arial"/>
          <w:b/>
          <w:color w:val="333333"/>
          <w:sz w:val="21"/>
          <w:szCs w:val="21"/>
          <w:lang w:eastAsia="pt-BR"/>
        </w:rPr>
        <w:t xml:space="preserve">Resposta: Mantem-se o item do edital.  </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22) </w:t>
      </w:r>
      <w:r>
        <w:rPr>
          <w:rFonts w:ascii="Bookman Old Style" w:eastAsia="Times New Roman" w:hAnsi="Bookman Old Style" w:cs="Arial"/>
          <w:color w:val="333333"/>
          <w:sz w:val="21"/>
          <w:szCs w:val="21"/>
          <w:lang w:eastAsia="pt-BR"/>
        </w:rPr>
        <w:t>Alguns dos questionamentos formulados acima interferem na interpretação e/ou redação aos citados itens do edital. Visto que tais obrigações também se encontram dispostas na minuta contratual, é correto afirmar que as respostas que impliquem em modificação ou exclusão do previsto no edital serão também aplicadas para a minuta contratual.</w:t>
      </w:r>
    </w:p>
    <w:p w:rsidR="008229D7" w:rsidRDefault="008229D7" w:rsidP="008229D7">
      <w:pPr>
        <w:spacing w:after="0" w:line="360" w:lineRule="auto"/>
        <w:jc w:val="both"/>
        <w:rPr>
          <w:rFonts w:ascii="Bookman Old Style" w:eastAsia="Times New Roman" w:hAnsi="Bookman Old Style" w:cs="Arial"/>
          <w:b/>
          <w:bCs/>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bCs/>
          <w:color w:val="333333"/>
          <w:sz w:val="21"/>
          <w:szCs w:val="21"/>
          <w:lang w:eastAsia="pt-BR"/>
        </w:rPr>
        <w:t> Resposta: Sim, está correto seu entendimento.</w:t>
      </w:r>
    </w:p>
    <w:p w:rsidR="008229D7" w:rsidRDefault="008229D7" w:rsidP="008229D7">
      <w:pPr>
        <w:spacing w:after="0" w:line="360" w:lineRule="auto"/>
        <w:jc w:val="both"/>
        <w:rPr>
          <w:rFonts w:ascii="Bookman Old Style" w:eastAsia="Times New Roman" w:hAnsi="Bookman Old Style" w:cs="Arial"/>
          <w:b/>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r>
        <w:rPr>
          <w:rFonts w:ascii="Bookman Old Style" w:eastAsia="Times New Roman" w:hAnsi="Bookman Old Style" w:cs="Arial"/>
          <w:b/>
          <w:bCs/>
          <w:color w:val="333333"/>
          <w:sz w:val="21"/>
          <w:szCs w:val="21"/>
          <w:lang w:eastAsia="pt-BR"/>
        </w:rPr>
        <w:t>23) </w:t>
      </w:r>
      <w:r>
        <w:rPr>
          <w:rFonts w:ascii="Bookman Old Style" w:eastAsia="Times New Roman" w:hAnsi="Bookman Old Style" w:cs="Arial"/>
          <w:color w:val="333333"/>
          <w:sz w:val="21"/>
          <w:szCs w:val="21"/>
          <w:lang w:eastAsia="pt-BR"/>
        </w:rPr>
        <w:t>A referida licitação e seu respectivo edital foram publicados, com, pelo menos, 08 (oito) dias úteis de antecedência da data de abertura dos envelopes, respeitando o prazo legal previsto no art. 4º, inciso V da Lei 10.520/02?</w:t>
      </w:r>
    </w:p>
    <w:p w:rsidR="008229D7" w:rsidRDefault="008229D7" w:rsidP="008229D7">
      <w:pPr>
        <w:spacing w:after="0" w:line="360" w:lineRule="auto"/>
        <w:jc w:val="both"/>
        <w:rPr>
          <w:rFonts w:ascii="Bookman Old Style" w:eastAsia="Times New Roman" w:hAnsi="Bookman Old Style" w:cs="Arial"/>
          <w:b/>
          <w:bCs/>
          <w:color w:val="333333"/>
          <w:sz w:val="21"/>
          <w:szCs w:val="21"/>
          <w:lang w:eastAsia="pt-BR"/>
        </w:rPr>
      </w:pPr>
      <w:r>
        <w:rPr>
          <w:rFonts w:ascii="Bookman Old Style" w:eastAsia="Times New Roman" w:hAnsi="Bookman Old Style" w:cs="Arial"/>
          <w:b/>
          <w:bCs/>
          <w:color w:val="333333"/>
          <w:sz w:val="21"/>
          <w:szCs w:val="21"/>
          <w:lang w:eastAsia="pt-BR"/>
        </w:rPr>
        <w:t> </w:t>
      </w:r>
      <w:r>
        <w:rPr>
          <w:rFonts w:ascii="Bookman Old Style" w:eastAsia="Times New Roman" w:hAnsi="Bookman Old Style" w:cs="Arial"/>
          <w:color w:val="333333"/>
          <w:sz w:val="21"/>
          <w:szCs w:val="21"/>
          <w:lang w:eastAsia="pt-BR"/>
        </w:rPr>
        <w:t> </w:t>
      </w:r>
      <w:r>
        <w:rPr>
          <w:rFonts w:ascii="Bookman Old Style" w:eastAsia="Times New Roman" w:hAnsi="Bookman Old Style" w:cs="Arial"/>
          <w:b/>
          <w:bCs/>
          <w:color w:val="333333"/>
          <w:sz w:val="21"/>
          <w:szCs w:val="21"/>
          <w:lang w:eastAsia="pt-BR"/>
        </w:rPr>
        <w:t> Resposta: Sim, está correto seu entendimento.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24) </w:t>
      </w:r>
      <w:r>
        <w:rPr>
          <w:rFonts w:ascii="Bookman Old Style" w:eastAsia="Times New Roman" w:hAnsi="Bookman Old Style" w:cs="Arial"/>
          <w:color w:val="333333"/>
          <w:sz w:val="21"/>
          <w:szCs w:val="21"/>
          <w:lang w:eastAsia="pt-BR"/>
        </w:rPr>
        <w:t>Houve</w:t>
      </w:r>
      <w:proofErr w:type="gramEnd"/>
      <w:r>
        <w:rPr>
          <w:rFonts w:ascii="Bookman Old Style" w:eastAsia="Times New Roman" w:hAnsi="Bookman Old Style" w:cs="Arial"/>
          <w:color w:val="333333"/>
          <w:sz w:val="21"/>
          <w:szCs w:val="21"/>
          <w:lang w:eastAsia="pt-BR"/>
        </w:rPr>
        <w:t xml:space="preserve"> alguma alteração/aditamento ao Edital após sua publicação? Em caso positivo, solicitamos disponibilizar cópia para consulta.</w:t>
      </w:r>
    </w:p>
    <w:p w:rsidR="008229D7" w:rsidRDefault="008229D7" w:rsidP="008229D7">
      <w:pPr>
        <w:spacing w:after="0" w:line="360" w:lineRule="auto"/>
        <w:jc w:val="both"/>
        <w:rPr>
          <w:rFonts w:ascii="Bookman Old Style" w:eastAsia="Times New Roman" w:hAnsi="Bookman Old Style" w:cs="Arial"/>
          <w:b/>
          <w:bCs/>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bCs/>
          <w:color w:val="333333"/>
          <w:sz w:val="21"/>
          <w:szCs w:val="21"/>
          <w:lang w:eastAsia="pt-BR"/>
        </w:rPr>
        <w:t> Resposta: Não houve alteração ou aditamento.</w:t>
      </w: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
    <w:p w:rsidR="008229D7" w:rsidRDefault="008229D7" w:rsidP="008229D7">
      <w:pPr>
        <w:spacing w:after="0" w:line="360" w:lineRule="auto"/>
        <w:jc w:val="both"/>
        <w:rPr>
          <w:rFonts w:ascii="Bookman Old Style" w:eastAsia="Times New Roman" w:hAnsi="Bookman Old Style" w:cs="Arial"/>
          <w:color w:val="333333"/>
          <w:sz w:val="21"/>
          <w:szCs w:val="21"/>
          <w:lang w:eastAsia="pt-BR"/>
        </w:rPr>
      </w:pPr>
      <w:proofErr w:type="gramStart"/>
      <w:r>
        <w:rPr>
          <w:rFonts w:ascii="Bookman Old Style" w:eastAsia="Times New Roman" w:hAnsi="Bookman Old Style" w:cs="Arial"/>
          <w:b/>
          <w:bCs/>
          <w:color w:val="333333"/>
          <w:sz w:val="21"/>
          <w:szCs w:val="21"/>
          <w:lang w:eastAsia="pt-BR"/>
        </w:rPr>
        <w:t>25) </w:t>
      </w:r>
      <w:r>
        <w:rPr>
          <w:rFonts w:ascii="Bookman Old Style" w:eastAsia="Times New Roman" w:hAnsi="Bookman Old Style" w:cs="Arial"/>
          <w:color w:val="333333"/>
          <w:sz w:val="21"/>
          <w:szCs w:val="21"/>
          <w:lang w:eastAsia="pt-BR"/>
        </w:rPr>
        <w:t>Houve</w:t>
      </w:r>
      <w:proofErr w:type="gramEnd"/>
      <w:r>
        <w:rPr>
          <w:rFonts w:ascii="Bookman Old Style" w:eastAsia="Times New Roman" w:hAnsi="Bookman Old Style" w:cs="Arial"/>
          <w:color w:val="333333"/>
          <w:sz w:val="21"/>
          <w:szCs w:val="21"/>
          <w:lang w:eastAsia="pt-BR"/>
        </w:rPr>
        <w:t xml:space="preserve"> apresentação de impugnação e/ou pedido de esclarecimentos por algum interessado? Em caso positivo, solicitamos disponibilizar cópia para consulta.</w:t>
      </w:r>
    </w:p>
    <w:p w:rsidR="008229D7" w:rsidRDefault="008229D7" w:rsidP="008229D7">
      <w:pPr>
        <w:spacing w:after="0" w:line="360" w:lineRule="auto"/>
        <w:jc w:val="both"/>
        <w:rPr>
          <w:rFonts w:ascii="Bookman Old Style" w:eastAsia="Times New Roman" w:hAnsi="Bookman Old Style" w:cs="Arial"/>
          <w:b/>
          <w:bCs/>
          <w:color w:val="333333"/>
          <w:sz w:val="21"/>
          <w:szCs w:val="21"/>
          <w:lang w:eastAsia="pt-BR"/>
        </w:rPr>
      </w:pPr>
      <w:r>
        <w:rPr>
          <w:rFonts w:ascii="Bookman Old Style" w:eastAsia="Times New Roman" w:hAnsi="Bookman Old Style" w:cs="Arial"/>
          <w:color w:val="333333"/>
          <w:sz w:val="21"/>
          <w:szCs w:val="21"/>
          <w:lang w:eastAsia="pt-BR"/>
        </w:rPr>
        <w:t>   </w:t>
      </w:r>
      <w:r>
        <w:rPr>
          <w:rFonts w:ascii="Bookman Old Style" w:eastAsia="Times New Roman" w:hAnsi="Bookman Old Style" w:cs="Arial"/>
          <w:b/>
          <w:bCs/>
          <w:color w:val="333333"/>
          <w:sz w:val="21"/>
          <w:szCs w:val="21"/>
          <w:lang w:eastAsia="pt-BR"/>
        </w:rPr>
        <w:t> Resposta: Sim, as cópias dos esclarecimentos e suas respectivas respostas estão disponibilizados no site do município.</w:t>
      </w:r>
    </w:p>
    <w:p w:rsidR="008229D7" w:rsidRDefault="008229D7"/>
    <w:p w:rsidR="008229D7" w:rsidRDefault="008229D7" w:rsidP="008229D7">
      <w:pPr>
        <w:rPr>
          <w:color w:val="1F497D"/>
        </w:rPr>
      </w:pPr>
    </w:p>
    <w:p w:rsidR="008229D7" w:rsidRDefault="008229D7" w:rsidP="008229D7">
      <w:pPr>
        <w:rPr>
          <w:rFonts w:ascii="Bookman Old Style" w:hAnsi="Bookman Old Style"/>
          <w:color w:val="1F497D"/>
          <w:sz w:val="24"/>
          <w:szCs w:val="24"/>
          <w:lang w:eastAsia="pt-BR"/>
        </w:rPr>
      </w:pPr>
      <w:r>
        <w:rPr>
          <w:rFonts w:ascii="Bookman Old Style" w:hAnsi="Bookman Old Style"/>
          <w:color w:val="1F497D"/>
          <w:sz w:val="24"/>
          <w:szCs w:val="24"/>
          <w:lang w:eastAsia="pt-BR"/>
        </w:rPr>
        <w:t>Atenciosamente,</w:t>
      </w:r>
    </w:p>
    <w:p w:rsidR="008229D7" w:rsidRDefault="008229D7" w:rsidP="008229D7">
      <w:pPr>
        <w:rPr>
          <w:rFonts w:ascii="Bookman Old Style" w:hAnsi="Bookman Old Style"/>
          <w:color w:val="1F497D"/>
          <w:sz w:val="24"/>
          <w:szCs w:val="24"/>
          <w:lang w:eastAsia="pt-BR"/>
        </w:rPr>
      </w:pPr>
    </w:p>
    <w:p w:rsidR="008229D7" w:rsidRDefault="008229D7" w:rsidP="008229D7">
      <w:pPr>
        <w:rPr>
          <w:rFonts w:ascii="Bookman Old Style" w:hAnsi="Bookman Old Style"/>
          <w:color w:val="1F497D"/>
          <w:sz w:val="24"/>
          <w:szCs w:val="24"/>
          <w:lang w:eastAsia="pt-BR"/>
        </w:rPr>
      </w:pPr>
      <w:r>
        <w:rPr>
          <w:rFonts w:ascii="Bookman Old Style" w:hAnsi="Bookman Old Style"/>
          <w:color w:val="1F497D"/>
          <w:sz w:val="24"/>
          <w:szCs w:val="24"/>
          <w:lang w:eastAsia="pt-BR"/>
        </w:rPr>
        <w:t>Eliane Brum</w:t>
      </w:r>
    </w:p>
    <w:p w:rsidR="008229D7" w:rsidRDefault="008229D7" w:rsidP="008229D7">
      <w:pPr>
        <w:rPr>
          <w:rFonts w:ascii="Bookman Old Style" w:hAnsi="Bookman Old Style"/>
          <w:color w:val="1F497D"/>
          <w:sz w:val="24"/>
          <w:szCs w:val="24"/>
          <w:lang w:eastAsia="pt-BR"/>
        </w:rPr>
      </w:pPr>
      <w:r>
        <w:rPr>
          <w:rFonts w:ascii="Bookman Old Style" w:hAnsi="Bookman Old Style"/>
          <w:color w:val="1F497D"/>
          <w:sz w:val="24"/>
          <w:szCs w:val="24"/>
          <w:lang w:eastAsia="pt-BR"/>
        </w:rPr>
        <w:lastRenderedPageBreak/>
        <w:t>Departamento de Licitações</w:t>
      </w:r>
    </w:p>
    <w:p w:rsidR="008229D7" w:rsidRDefault="008229D7" w:rsidP="008229D7">
      <w:pPr>
        <w:rPr>
          <w:rFonts w:ascii="Bookman Old Style" w:hAnsi="Bookman Old Style"/>
          <w:color w:val="1F497D"/>
          <w:sz w:val="24"/>
          <w:szCs w:val="24"/>
          <w:lang w:eastAsia="pt-BR"/>
        </w:rPr>
      </w:pPr>
      <w:r>
        <w:rPr>
          <w:rFonts w:ascii="Bookman Old Style" w:hAnsi="Bookman Old Style"/>
          <w:color w:val="1F497D"/>
          <w:sz w:val="24"/>
          <w:szCs w:val="24"/>
          <w:lang w:eastAsia="pt-BR"/>
        </w:rPr>
        <w:t>Prefeitura Municipal de Santo Antonio do Sudoeste</w:t>
      </w:r>
    </w:p>
    <w:p w:rsidR="008229D7" w:rsidRDefault="008229D7" w:rsidP="008229D7">
      <w:pPr>
        <w:rPr>
          <w:rFonts w:ascii="Bookman Old Style" w:hAnsi="Bookman Old Style"/>
          <w:color w:val="1F497D"/>
          <w:sz w:val="24"/>
          <w:szCs w:val="24"/>
          <w:lang w:eastAsia="pt-BR"/>
        </w:rPr>
      </w:pPr>
      <w:r>
        <w:rPr>
          <w:rFonts w:ascii="Bookman Old Style" w:hAnsi="Bookman Old Style"/>
          <w:color w:val="1F497D"/>
          <w:sz w:val="24"/>
          <w:szCs w:val="24"/>
          <w:lang w:eastAsia="pt-BR"/>
        </w:rPr>
        <w:t>Av. Brasil, 1431 – centro – CEP: 85.71-000</w:t>
      </w:r>
    </w:p>
    <w:p w:rsidR="008229D7" w:rsidRDefault="008229D7" w:rsidP="008229D7">
      <w:pPr>
        <w:rPr>
          <w:rFonts w:ascii="Bookman Old Style" w:hAnsi="Bookman Old Style"/>
          <w:color w:val="1F497D"/>
          <w:sz w:val="24"/>
          <w:szCs w:val="24"/>
          <w:lang w:eastAsia="pt-BR"/>
        </w:rPr>
      </w:pPr>
      <w:r>
        <w:rPr>
          <w:rFonts w:ascii="Bookman Old Style" w:hAnsi="Bookman Old Style"/>
          <w:color w:val="1F497D"/>
          <w:sz w:val="24"/>
          <w:szCs w:val="24"/>
          <w:lang w:eastAsia="pt-BR"/>
        </w:rPr>
        <w:t>Fone: 35638000</w:t>
      </w:r>
    </w:p>
    <w:p w:rsidR="008229D7" w:rsidRDefault="008229D7"/>
    <w:p w:rsidR="008229D7" w:rsidRDefault="008229D7"/>
    <w:p w:rsidR="008229D7" w:rsidRDefault="008229D7">
      <w:r>
        <w:t xml:space="preserve">Santo </w:t>
      </w:r>
      <w:proofErr w:type="gramStart"/>
      <w:r>
        <w:t>Antonio  do</w:t>
      </w:r>
      <w:proofErr w:type="gramEnd"/>
      <w:r>
        <w:t xml:space="preserve"> Sudoeste- PR, 24 de setembro de 2019</w:t>
      </w:r>
    </w:p>
    <w:sectPr w:rsidR="008229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au Display">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D7"/>
    <w:rsid w:val="00797005"/>
    <w:rsid w:val="008229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5524"/>
  <w15:chartTrackingRefBased/>
  <w15:docId w15:val="{F74EAB15-6891-421A-AACA-A5EBB2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229D7"/>
    <w:pPr>
      <w:keepNext/>
      <w:spacing w:before="240" w:after="60" w:line="240" w:lineRule="auto"/>
      <w:outlineLvl w:val="0"/>
    </w:pPr>
    <w:rPr>
      <w:rFonts w:ascii="Cambria" w:hAnsi="Cambria" w:cs="Times New Roman"/>
      <w:b/>
      <w:bCs/>
      <w:kern w:val="36"/>
      <w:sz w:val="32"/>
      <w:szCs w:val="32"/>
      <w:lang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229D7"/>
    <w:rPr>
      <w:color w:val="0563C1"/>
      <w:u w:val="single"/>
    </w:rPr>
  </w:style>
  <w:style w:type="paragraph" w:styleId="Corpodetexto">
    <w:name w:val="Body Text"/>
    <w:basedOn w:val="Normal"/>
    <w:link w:val="CorpodetextoChar"/>
    <w:uiPriority w:val="99"/>
    <w:semiHidden/>
    <w:unhideWhenUsed/>
    <w:rsid w:val="008229D7"/>
    <w:pPr>
      <w:spacing w:after="120" w:line="240" w:lineRule="auto"/>
    </w:pPr>
    <w:rPr>
      <w:rFonts w:ascii="Times New Roman" w:hAnsi="Times New Roman" w:cs="Times New Roman"/>
      <w:sz w:val="24"/>
      <w:szCs w:val="24"/>
      <w:lang w:eastAsia="x-none"/>
    </w:rPr>
  </w:style>
  <w:style w:type="character" w:customStyle="1" w:styleId="CorpodetextoChar">
    <w:name w:val="Corpo de texto Char"/>
    <w:basedOn w:val="Fontepargpadro"/>
    <w:link w:val="Corpodetexto"/>
    <w:uiPriority w:val="99"/>
    <w:semiHidden/>
    <w:rsid w:val="008229D7"/>
    <w:rPr>
      <w:rFonts w:ascii="Times New Roman" w:hAnsi="Times New Roman" w:cs="Times New Roman"/>
      <w:sz w:val="24"/>
      <w:szCs w:val="24"/>
      <w:lang w:eastAsia="x-none"/>
    </w:rPr>
  </w:style>
  <w:style w:type="character" w:customStyle="1" w:styleId="Ttulo1Char">
    <w:name w:val="Título 1 Char"/>
    <w:basedOn w:val="Fontepargpadro"/>
    <w:link w:val="Ttulo1"/>
    <w:uiPriority w:val="9"/>
    <w:rsid w:val="008229D7"/>
    <w:rPr>
      <w:rFonts w:ascii="Cambria" w:hAnsi="Cambria" w:cs="Times New Roman"/>
      <w:b/>
      <w:bCs/>
      <w:kern w:val="36"/>
      <w:sz w:val="32"/>
      <w:szCs w:val="32"/>
      <w:lang w:eastAsia="x-none"/>
    </w:rPr>
  </w:style>
  <w:style w:type="paragraph" w:customStyle="1" w:styleId="ParagraphStyle">
    <w:name w:val="Paragraph Style"/>
    <w:rsid w:val="008229D7"/>
    <w:pPr>
      <w:widowControl w:val="0"/>
      <w:autoSpaceDE w:val="0"/>
      <w:autoSpaceDN w:val="0"/>
      <w:adjustRightInd w:val="0"/>
      <w:spacing w:after="0" w:line="240" w:lineRule="auto"/>
    </w:pPr>
    <w:rPr>
      <w:rFonts w:ascii="Arial" w:eastAsiaTheme="minorEastAsia"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192">
      <w:bodyDiv w:val="1"/>
      <w:marLeft w:val="0"/>
      <w:marRight w:val="0"/>
      <w:marTop w:val="0"/>
      <w:marBottom w:val="0"/>
      <w:divBdr>
        <w:top w:val="none" w:sz="0" w:space="0" w:color="auto"/>
        <w:left w:val="none" w:sz="0" w:space="0" w:color="auto"/>
        <w:bottom w:val="none" w:sz="0" w:space="0" w:color="auto"/>
        <w:right w:val="none" w:sz="0" w:space="0" w:color="auto"/>
      </w:divBdr>
    </w:div>
    <w:div w:id="366568486">
      <w:bodyDiv w:val="1"/>
      <w:marLeft w:val="0"/>
      <w:marRight w:val="0"/>
      <w:marTop w:val="0"/>
      <w:marBottom w:val="0"/>
      <w:divBdr>
        <w:top w:val="none" w:sz="0" w:space="0" w:color="auto"/>
        <w:left w:val="none" w:sz="0" w:space="0" w:color="auto"/>
        <w:bottom w:val="none" w:sz="0" w:space="0" w:color="auto"/>
        <w:right w:val="none" w:sz="0" w:space="0" w:color="auto"/>
      </w:divBdr>
    </w:div>
    <w:div w:id="936593632">
      <w:bodyDiv w:val="1"/>
      <w:marLeft w:val="0"/>
      <w:marRight w:val="0"/>
      <w:marTop w:val="0"/>
      <w:marBottom w:val="0"/>
      <w:divBdr>
        <w:top w:val="none" w:sz="0" w:space="0" w:color="auto"/>
        <w:left w:val="none" w:sz="0" w:space="0" w:color="auto"/>
        <w:bottom w:val="none" w:sz="0" w:space="0" w:color="auto"/>
        <w:right w:val="none" w:sz="0" w:space="0" w:color="auto"/>
      </w:divBdr>
    </w:div>
    <w:div w:id="1270506714">
      <w:bodyDiv w:val="1"/>
      <w:marLeft w:val="0"/>
      <w:marRight w:val="0"/>
      <w:marTop w:val="0"/>
      <w:marBottom w:val="0"/>
      <w:divBdr>
        <w:top w:val="none" w:sz="0" w:space="0" w:color="auto"/>
        <w:left w:val="none" w:sz="0" w:space="0" w:color="auto"/>
        <w:bottom w:val="none" w:sz="0" w:space="0" w:color="auto"/>
        <w:right w:val="none" w:sz="0" w:space="0" w:color="auto"/>
      </w:divBdr>
    </w:div>
    <w:div w:id="1778988703">
      <w:bodyDiv w:val="1"/>
      <w:marLeft w:val="0"/>
      <w:marRight w:val="0"/>
      <w:marTop w:val="0"/>
      <w:marBottom w:val="0"/>
      <w:divBdr>
        <w:top w:val="none" w:sz="0" w:space="0" w:color="auto"/>
        <w:left w:val="none" w:sz="0" w:space="0" w:color="auto"/>
        <w:bottom w:val="none" w:sz="0" w:space="0" w:color="auto"/>
        <w:right w:val="none" w:sz="0" w:space="0" w:color="auto"/>
      </w:divBdr>
    </w:div>
    <w:div w:id="1824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dir.kuzma@itau-unibanc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ria.limeira.@itau-unibanco.com.br" TargetMode="External"/><Relationship Id="rId5" Type="http://schemas.openxmlformats.org/officeDocument/2006/relationships/hyperlink" Target="mailto:monica.orosco@itau-unibanco.com.br" TargetMode="External"/><Relationship Id="rId4" Type="http://schemas.openxmlformats.org/officeDocument/2006/relationships/hyperlink" Target="mailto:licitacao@pmsas.pr.gov.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6435</Words>
  <Characters>34752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Prunzel</dc:creator>
  <cp:keywords/>
  <dc:description/>
  <cp:lastModifiedBy>Hellen Prunzel</cp:lastModifiedBy>
  <cp:revision>1</cp:revision>
  <dcterms:created xsi:type="dcterms:W3CDTF">2019-09-24T19:25:00Z</dcterms:created>
  <dcterms:modified xsi:type="dcterms:W3CDTF">2019-09-24T19:32:00Z</dcterms:modified>
</cp:coreProperties>
</file>